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C9" w:rsidRPr="006569C9" w:rsidRDefault="006569C9" w:rsidP="006569C9">
      <w:pPr>
        <w:spacing w:after="165" w:line="360" w:lineRule="atLeast"/>
        <w:jc w:val="center"/>
        <w:textAlignment w:val="top"/>
        <w:outlineLvl w:val="0"/>
        <w:rPr>
          <w:rFonts w:ascii="Helvetica" w:eastAsia="Times New Roman" w:hAnsi="Helvetica" w:cs="Helvetica"/>
          <w:b/>
          <w:bCs/>
          <w:caps/>
          <w:color w:val="444444"/>
          <w:spacing w:val="15"/>
          <w:kern w:val="36"/>
          <w:sz w:val="24"/>
          <w:szCs w:val="24"/>
          <w:lang w:eastAsia="hu-HU"/>
        </w:rPr>
      </w:pPr>
      <w:r w:rsidRPr="006569C9">
        <w:rPr>
          <w:rFonts w:ascii="Helvetica" w:eastAsia="Times New Roman" w:hAnsi="Helvetica" w:cs="Helvetica"/>
          <w:b/>
          <w:bCs/>
          <w:caps/>
          <w:color w:val="444444"/>
          <w:spacing w:val="15"/>
          <w:kern w:val="36"/>
          <w:sz w:val="24"/>
          <w:szCs w:val="24"/>
          <w:lang w:eastAsia="hu-HU"/>
        </w:rPr>
        <w:t>TISZANÁNA TELEPÜLÉS KÉPVISELŐ TESTÜLETÉNEK 16/2018 (XI.29.) ÖNKORMÁNYZATI RENDELETE</w:t>
      </w:r>
    </w:p>
    <w:p w:rsidR="006569C9" w:rsidRPr="006569C9" w:rsidRDefault="006569C9" w:rsidP="006569C9">
      <w:pPr>
        <w:shd w:val="clear" w:color="auto" w:fill="FFFFFF"/>
        <w:spacing w:after="0" w:line="360" w:lineRule="atLeast"/>
        <w:jc w:val="center"/>
        <w:textAlignment w:val="top"/>
        <w:outlineLvl w:val="1"/>
        <w:rPr>
          <w:rFonts w:ascii="Helvetica" w:eastAsia="Times New Roman" w:hAnsi="Helvetica" w:cs="Helvetica"/>
          <w:b/>
          <w:bCs/>
          <w:color w:val="008000"/>
          <w:sz w:val="24"/>
          <w:szCs w:val="24"/>
          <w:lang w:eastAsia="hu-HU"/>
        </w:rPr>
      </w:pPr>
      <w:r w:rsidRPr="006569C9">
        <w:rPr>
          <w:rFonts w:ascii="Helvetica" w:eastAsia="Times New Roman" w:hAnsi="Helvetica" w:cs="Helvetica"/>
          <w:b/>
          <w:bCs/>
          <w:color w:val="008000"/>
          <w:sz w:val="24"/>
          <w:szCs w:val="24"/>
          <w:lang w:eastAsia="hu-HU"/>
        </w:rPr>
        <w:t>Javaslat a közösségi együttélés alapvető szabályiról és az azokat sértő magatartás jogkövetkezményeiről szóló önkormányzati rendelet megalkotására.</w:t>
      </w:r>
    </w:p>
    <w:p w:rsidR="006569C9" w:rsidRPr="006569C9" w:rsidRDefault="006569C9" w:rsidP="006569C9">
      <w:pPr>
        <w:spacing w:after="0" w:line="240" w:lineRule="auto"/>
        <w:rPr>
          <w:rFonts w:ascii="Times New Roman" w:eastAsia="Times New Roman" w:hAnsi="Times New Roman" w:cs="Times New Roman"/>
          <w:sz w:val="24"/>
          <w:szCs w:val="24"/>
          <w:lang w:eastAsia="hu-HU"/>
        </w:rPr>
      </w:pPr>
      <w:r w:rsidRPr="006569C9">
        <w:rPr>
          <w:rFonts w:ascii="Arial" w:eastAsia="Times New Roman" w:hAnsi="Arial" w:cs="Arial"/>
          <w:color w:val="000000"/>
          <w:sz w:val="20"/>
          <w:szCs w:val="20"/>
          <w:lang w:eastAsia="hu-HU"/>
        </w:rPr>
        <w:br/>
      </w:r>
    </w:p>
    <w:p w:rsidR="006569C9" w:rsidRPr="006569C9" w:rsidRDefault="006569C9" w:rsidP="006569C9">
      <w:pPr>
        <w:shd w:val="clear" w:color="auto" w:fill="FFFFFF"/>
        <w:spacing w:after="0" w:line="210" w:lineRule="atLeast"/>
        <w:jc w:val="center"/>
        <w:textAlignment w:val="top"/>
        <w:outlineLvl w:val="2"/>
        <w:rPr>
          <w:rFonts w:ascii="Helvetica" w:eastAsia="Times New Roman" w:hAnsi="Helvetica" w:cs="Helvetica"/>
          <w:b/>
          <w:bCs/>
          <w:color w:val="0F0F0F"/>
          <w:sz w:val="20"/>
          <w:szCs w:val="20"/>
          <w:lang w:eastAsia="hu-HU"/>
        </w:rPr>
      </w:pPr>
      <w:r w:rsidRPr="006569C9">
        <w:rPr>
          <w:rFonts w:ascii="Helvetica" w:eastAsia="Times New Roman" w:hAnsi="Helvetica" w:cs="Helvetica"/>
          <w:b/>
          <w:bCs/>
          <w:color w:val="0F0F0F"/>
          <w:sz w:val="20"/>
          <w:szCs w:val="20"/>
          <w:lang w:eastAsia="hu-HU"/>
        </w:rPr>
        <w:t>Hatályos: 2019-01-01 -tól</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Tiszanána község Önkormányzata Képviselő-testülete a Magyarország helyi önkormányzatairól szóló 2011. évi CLXXXIX. törvény ( Mötv.)  8. § (2) bekezdésében foglalt feladat-körében, a Mötv. 143. § (4) bekezdés d) pontjában kapott felhatalmazás alapján  a következőket rendeli el:</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numPr>
          <w:ilvl w:val="0"/>
          <w:numId w:val="1"/>
        </w:numPr>
        <w:shd w:val="clear" w:color="auto" w:fill="FFFFFF"/>
        <w:spacing w:after="0" w:line="270" w:lineRule="atLeast"/>
        <w:ind w:left="0"/>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Fejezet</w:t>
      </w: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Általános rendelkezések</w:t>
      </w:r>
    </w:p>
    <w:p w:rsidR="006569C9" w:rsidRPr="006569C9" w:rsidRDefault="006569C9" w:rsidP="006569C9">
      <w:pPr>
        <w:numPr>
          <w:ilvl w:val="0"/>
          <w:numId w:val="2"/>
        </w:numPr>
        <w:shd w:val="clear" w:color="auto" w:fill="FFFFFF"/>
        <w:spacing w:after="0" w:line="270" w:lineRule="atLeast"/>
        <w:ind w:left="0"/>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A rendelet hatálya</w:t>
      </w: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1.§</w:t>
      </w:r>
    </w:p>
    <w:p w:rsidR="006569C9" w:rsidRPr="006569C9" w:rsidRDefault="006569C9" w:rsidP="006569C9">
      <w:pPr>
        <w:spacing w:after="0" w:line="270" w:lineRule="atLeast"/>
        <w:ind w:left="720"/>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rendelet hatálya Tiszanána község közigazgatási területén a jelen rendeletben meghatározott, közösségi együttélés alapvető szabályaival ellentétes magatartást  cselekvéssel, mulasztással vagy jogellenes állapot fenntartásával megvalósító 14. életévüket betöltött természetes személyekre, jogi személyekre, jogi személyiséggel nem rendelkező szervezetekre terjed ki..</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(2)   E rendelet alkalmazásában a közösségi együttélés alapvető szabályaiba ütköző magatartás, amely bűncselekménynek vagy szabálysértésnek nem minősül, de a közösségi együttélés szabályaival ellentétes, és azt Tiszanána község Önkormányzata Képviselő-testülete (a továbbiakban: Képviselő-testület) e rendeletben a közösségi együttélés alapvető szabályaiba ütköző magatartásként határoz meg.</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(3)  A rendelet azon magatartási szabályok megsértése esetén nem alkalmazható, amelyeket magasabb szintű jogszabály bűncselekménynek vagy szabálysértésnek minősít, vagy más módon szankcionál.</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2. Eljárási szabályok</w:t>
      </w: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2.§</w:t>
      </w:r>
    </w:p>
    <w:p w:rsidR="006569C9" w:rsidRPr="006569C9" w:rsidRDefault="006569C9" w:rsidP="006569C9">
      <w:pPr>
        <w:spacing w:after="0" w:line="270" w:lineRule="atLeast"/>
        <w:ind w:left="1134"/>
        <w:jc w:val="center"/>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közösségi együttélés alapvető szabályait sértő magatartás miatt a közigazgatási hatósági eljárás lefolytatására, és a cselekmény elbírálására a Képviselő-testület átruházott hatáskörében a jegyzőre jogosult.</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(2)    A közösségi együttélés alapvető szabályait sértő magatartás elkövetőjével szembeni eljárásra, továbbá az elévülésére, annak feltételeire az általános közigazgatási rendtartásról szóló 2016. évi CL. törvény ( Ákr.) rendelkezései irányadók.</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(3)     A közösségi együttélés alapvető szabályait sértő magatartás miatt közigazgatási hatósági eljárás bejelentés, vagy a hatóság részéről eljáró személy észlelése alapján  hivatalból indul. A bejelentést szóban vagy írásban bárki megteheti.</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3.§</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lastRenderedPageBreak/>
        <w:t>(1)     A rendeletben meghatározott a közösségi együttélés alapvető szabályait sértő                              </w:t>
      </w:r>
      <w:r w:rsidRPr="006569C9">
        <w:rPr>
          <w:rFonts w:ascii="Arial" w:eastAsia="Times New Roman" w:hAnsi="Arial" w:cs="Arial"/>
          <w:color w:val="000000"/>
          <w:sz w:val="20"/>
          <w:szCs w:val="20"/>
          <w:lang w:eastAsia="hu-HU"/>
        </w:rPr>
        <w:br/>
        <w:t>          magatartás elkövetőjével szemben</w:t>
      </w:r>
    </w:p>
    <w:p w:rsidR="006569C9" w:rsidRPr="006569C9" w:rsidRDefault="006569C9" w:rsidP="006569C9">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természetes személy elkövető esetén 5.000 forinttól 200.000 forintig,</w:t>
      </w:r>
    </w:p>
    <w:p w:rsidR="006569C9" w:rsidRPr="006569C9" w:rsidRDefault="006569C9" w:rsidP="006569C9">
      <w:pPr>
        <w:numPr>
          <w:ilvl w:val="0"/>
          <w:numId w:val="3"/>
        </w:numPr>
        <w:shd w:val="clear" w:color="auto" w:fill="FFFFFF"/>
        <w:spacing w:after="0" w:line="270" w:lineRule="atLeast"/>
        <w:ind w:left="0"/>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jogi személy, jogi személyiséggel nem rendelkező szervezet elkövető esetén 5.000 forinttól 2.000.000 forintig terjedő közigazgatási bírság ( továbbiakban: bírság ) szabható ki.</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(2)     A bírság mértékének megállapítása során figyelembe kell venni:       </w:t>
      </w:r>
    </w:p>
    <w:p w:rsidR="006569C9" w:rsidRPr="006569C9" w:rsidRDefault="006569C9" w:rsidP="006569C9">
      <w:pPr>
        <w:spacing w:after="0" w:line="270" w:lineRule="atLeast"/>
        <w:ind w:left="1134"/>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a./ a közösségi együttélési szabályok megsértésének súlyát,    </w:t>
      </w:r>
    </w:p>
    <w:p w:rsidR="006569C9" w:rsidRPr="006569C9" w:rsidRDefault="006569C9" w:rsidP="006569C9">
      <w:pPr>
        <w:spacing w:after="0" w:line="270" w:lineRule="atLeast"/>
        <w:ind w:left="1375"/>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 nyilvántartás adatai alapján a cselekmény ismétlődését és gyakoriságát,</w:t>
      </w:r>
    </w:p>
    <w:p w:rsidR="006569C9" w:rsidRPr="006569C9" w:rsidRDefault="006569C9" w:rsidP="006569C9">
      <w:pPr>
        <w:spacing w:after="0" w:line="270" w:lineRule="atLeast"/>
        <w:ind w:left="1375"/>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a felróhatóság mértékét,</w:t>
      </w:r>
    </w:p>
    <w:p w:rsidR="006569C9" w:rsidRPr="006569C9" w:rsidRDefault="006569C9" w:rsidP="006569C9">
      <w:pPr>
        <w:spacing w:after="0" w:line="270" w:lineRule="atLeast"/>
        <w:ind w:left="1375"/>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c./ az elkövető vagyoni helyzetét és jövedelmi viszonyait.</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(3)  A bírság kiszabására a jegyző jogosult, valamint a (4) bekezdésben foglaltak alapján a jegyző által megbízott személyek helyszíni bírság kiszabására jogosultak A közösségi együttélési szabályok megsértésére irányuló  magatartásokról , és azok elkövetőiről az Önkormányzat nyilvántartást vezet.</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(4)  Ha a helyszíni intézkedés alkalmával az elkövető a jogsértést teljes mértékben elismeri, és – a cselekmény a (3) bekezdésben foglalt szempontok alapján történő értékelése szerint – súlyosabb jogkövetkezmény alkalmazása nem indokolt, vele szemben a jegyző, és a jegyző által megbízott személyek  helyszíni bírságot alkalmazhat. A helyszíni bírság mértéke 5.000 forinttól 50.000 forintig terjedhet.</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(5)  A helyszíni bírságot 30 napon belül kell megfizetni az átadott készpénz  átutalási megbízáson. Ennek elmaradása esetén az Ákr. szerinti végrehajtási eljárásnak van helye. Ha az elkövető a jogsértést nem ismeri el, a jegyző vagy  az általa megbízott személyek bejelentést tesz a közigazgatási eljárás  lefolytatására.  A kiszabott közigazgatási bírságot az első fokú határozat jogerőre emelkedését követő 30 napon belül kell az elkövetőnek megfizetnie  Tiszanána község Önkormányzata  11739047-15379645-0000számú költségvetési a közösségi együttélés alapvető szabályiról és az azokat sértő magatartás</w:t>
      </w:r>
      <w:r w:rsidRPr="006569C9">
        <w:rPr>
          <w:rFonts w:ascii="Arial" w:eastAsia="Times New Roman" w:hAnsi="Arial" w:cs="Arial"/>
          <w:color w:val="000000"/>
          <w:sz w:val="20"/>
          <w:szCs w:val="20"/>
          <w:lang w:eastAsia="hu-HU"/>
        </w:rPr>
        <w:br/>
        <w:t>jogkövetkezményeiről szóló önkormányzati rendelet megalkotására számlájára. A határozat bírósági felülvizsgálatát – jogszabálysértésre hivatkozással a kézhezvételtől számított 30 napon belül a Miskolci Közigazgatási és Munkaügyi Bíróságnak ( 3550 Miskolc, Pf.370.)  címzett, de  a jegyzőnél előterjesztett keresettel lehet élni. A bírósági felülvizsgálat eljárás illetéke 30.000.-Ft.</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6) Korlátozottan cselekvőképes személlyel szemben helyszíni bírság kiszabásának nincs helye, közigazgatási bírságot pedig akkor lehet kiszabni, ha önálló jövedelemmel rendelkezik, vagy önként vállalja a bírság megfizetését.</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(7) Az elkövető eljárási képességére, szükség szerinti képviseletére az Ákr.  szabályai értelemszerűen irányadóak.</w:t>
      </w:r>
    </w:p>
    <w:p w:rsidR="006569C9" w:rsidRPr="006569C9" w:rsidRDefault="006569C9" w:rsidP="006569C9">
      <w:pPr>
        <w:spacing w:after="0" w:line="270" w:lineRule="atLeast"/>
        <w:jc w:val="both"/>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(8) Amennyiben a közösségi együttélés alapvető szabályait sértő magatartás  csekély súlyú, a cselekmény elkövetője az elkövetést megelőző egy évben a településen nem valósított meg a közösségi együttélés alapvető szabályait sértő magatartást, a személyi körülményei és a cselekmény elkövetésének körülményei alapján kellő visszatartó hatás várható, bírság helyett figyelmeztetés is alkalmazható.</w:t>
      </w:r>
    </w:p>
    <w:p w:rsidR="006569C9" w:rsidRPr="006569C9" w:rsidRDefault="006569C9" w:rsidP="006569C9">
      <w:pPr>
        <w:spacing w:after="0" w:line="270" w:lineRule="atLeast"/>
        <w:ind w:left="1418"/>
        <w:textAlignment w:val="top"/>
        <w:rPr>
          <w:rFonts w:ascii="Arial" w:eastAsia="Times New Roman" w:hAnsi="Arial" w:cs="Arial"/>
          <w:color w:val="000000"/>
          <w:sz w:val="20"/>
          <w:szCs w:val="20"/>
          <w:lang w:eastAsia="hu-HU"/>
        </w:rPr>
      </w:pPr>
    </w:p>
    <w:p w:rsidR="006569C9" w:rsidRPr="006569C9" w:rsidRDefault="006569C9" w:rsidP="006569C9">
      <w:pPr>
        <w:numPr>
          <w:ilvl w:val="0"/>
          <w:numId w:val="4"/>
        </w:numPr>
        <w:shd w:val="clear" w:color="auto" w:fill="FFFFFF"/>
        <w:spacing w:after="0" w:line="270" w:lineRule="atLeast"/>
        <w:ind w:left="0"/>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Fejezet</w:t>
      </w:r>
    </w:p>
    <w:p w:rsidR="006569C9" w:rsidRPr="006569C9" w:rsidRDefault="006569C9" w:rsidP="006569C9">
      <w:pPr>
        <w:spacing w:after="0" w:line="270" w:lineRule="atLeast"/>
        <w:ind w:left="360"/>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26"/>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 A közösségi együttélés alapvető szabályait sértő magatartások</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4.§</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közterület-használat rendjével összefüggően a közösségi együttélés alapvető    szabályait sértő magatartást követ el</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aki közterületen az erre irányuló közterület-használati engedély nélkül, vagy az engedélyben foglaltaktól eltérő módon szervez és tart közterület-használati engedély birtokában szervezhető rendezvényt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lastRenderedPageBreak/>
        <w:t>b)  aki a közterület-használattal összefüggésben keletkező hulladékot és az alkalmazott utcabútort a tevékenység befejezésével a közterületről naponta nem távolítja el,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e)  aki díszburkolaton, zöldterületen járművel parkol, közlekedik, zöldterületnek tekintve azt a területet is, amelyen a fásítás, parkosítás megkezdődött, vagy amelynek gyepfelülete esetlegesen hiányos,</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  aki közterület-használati engedély nélkül</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da)  közterületen épületet elhelyez,</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db)  önálló hirdető-berendezést, alapzatos zászlórudat és köztárgyakat (pad, figyelmeztető és tájékoztató táblák, tartozékok) elhelyez,</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dc)  építési munkával kapcsolatos állványt, eszközt, építő- vagy tüzelőanyagot, illetve törmeléket egy napon túl közterületen elhelyez,</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dd)  vendéglátó ipari előkertet vagy teraszt létesít, üzleti szállítás vagy rakodás alkalmával göngyöleg elhelyezésére, áru be- és kirakodására közterületet foglal el, amely a 24 órát meghaladja,</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de)  kiállítás, vásár, alkalmi vásár, sport- és kulturális rendezvények, mutatványos tevékenység céljára közterületet vesz igénybe, járműről végez hangos reklám tevékenységet,</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df)   tehergépjárművet, mezőgazdasági vontatót, lassú járművet, járműszerelvényt közterületen 30 napon túl tárol,</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dg)  üzemképtelen vagy hatósági jelzéssel nem rendelkező gépjárművet közterületen 30 napon túl tárol.</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e.) aki közterületi emléktáblát, emlékművet beszennyez, eltakar, vagy eltávolít,</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f.) aki közterületen elhelyezett műtárgyat, reklámhordozót, köztéri szobrot,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emlékművet, dísztárgyat, utcaburkolatot, utcabútort, élő növényt megrongál,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megsemmisít, engedély nélkül ráfest ( grafiti )</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g)  aki a közterület engedélyhez kötött, de engedély nélküli használata esetén az engedélyező hatóság felhívására nem szünteti meg a használatot, és az eredeti állapotot a saját költségén – kártérítési igény nélkül – nem állítja helyre,</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h)  aki a filmforgatási célú közterület-használatról szóló 28/2013. (VII. 11.) önkormányzati rendeletben foglaltak megszegésével filmet forgat.</w:t>
      </w:r>
    </w:p>
    <w:p w:rsidR="006569C9" w:rsidRPr="006569C9" w:rsidRDefault="006569C9" w:rsidP="006569C9">
      <w:pPr>
        <w:spacing w:after="0" w:line="270" w:lineRule="atLeast"/>
        <w:ind w:left="876"/>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876"/>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5.§</w:t>
      </w:r>
    </w:p>
    <w:p w:rsidR="006569C9" w:rsidRPr="006569C9" w:rsidRDefault="006569C9" w:rsidP="006569C9">
      <w:pPr>
        <w:spacing w:after="0" w:line="270" w:lineRule="atLeast"/>
        <w:ind w:left="1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w:t>
      </w:r>
      <w:r w:rsidRPr="006569C9">
        <w:rPr>
          <w:rFonts w:ascii="Arial" w:eastAsia="Times New Roman" w:hAnsi="Arial" w:cs="Arial"/>
          <w:b/>
          <w:bCs/>
          <w:color w:val="000000"/>
          <w:sz w:val="20"/>
          <w:szCs w:val="20"/>
          <w:lang w:eastAsia="hu-HU"/>
        </w:rPr>
        <w:t>temetővel és a temetkezési tevékenységgel összefüggően</w:t>
      </w:r>
      <w:r w:rsidRPr="006569C9">
        <w:rPr>
          <w:rFonts w:ascii="Arial" w:eastAsia="Times New Roman" w:hAnsi="Arial" w:cs="Arial"/>
          <w:color w:val="000000"/>
          <w:sz w:val="20"/>
          <w:szCs w:val="20"/>
          <w:lang w:eastAsia="hu-HU"/>
        </w:rPr>
        <w:t> a közösségi együttélés alapvető szabályaiba ütköző magatartást követ el, aki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olyan magatartást tanúsít, amely a szertartások rendjét, a közösség kegyeleti érzését sérti, ha a cselekmény nem bűncselekmény, vagy nem valósít meg szabálysértést,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 sírhelyek kialakításánál a köztemető fenntartója, üzemeltetője által előírtakat (sírhant méreteit, síremlékekre vonatkozó előírásokat stb.) nem tartja be,</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c)  a köztemetőben síremléket, sírkeretet, fedlapot, sírboltot az üzemeltető engedélye nélkül készít,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  az építési munka befejeztével a fennmaradó anyag, törmelék elszállításáról, illetve az okozott kár helyreállításáról 10 napon belül nem gondoskodik,</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e)  a köztemetőben a sírokat nem a temetőkről és a temetkezési tevékenységekről szóló 22/2013. (IV.8.)  önkormányzati rendelet 5. § (1) bekezdésében meghatározottak szerint díszíti, illetve olyan tárgyakat helyez el, amelyek akadályozzák a sírok közötti közlekedést,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f)   a temető területén tüzet rak, vagy szemetet éget,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g)  a temető területén a talajt és a gyepet engedély nélkül felássa,</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h)  a sírok gondozásával kapcsolatban keletkezett hulladékot, szemetet nem a kijelölt helyen tárolja,</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i)   a temetőbe kutyát, vagy más állatot bevisz,</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j)   a temető területére meghatározott járműforgalom szabályait megszegi.</w:t>
      </w: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6.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települési folyékony hulladékkal összefüggően a közösségi együttélés alapvető szabályaiba ütköző magatartást követ el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a közszolgáltató, aki a települési folyékony hulladékkal kapcsolatos hulladékkezelési helyi közszolgáltatásokról szóló 5/2014. (III. 4.)  önkormányzati rendelet 7.§ (1 - 7) bekezdéseiben foglalt kötelességeit megszegi, vagy nem teljesíti,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 folyékony hulladékot kibocsátó ingatlantulajdonos, ha</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ba)  a közszolgáltató által nyújtott közszolgáltatást nem, vagy nem megfelelően veszi igénybe,</w:t>
      </w:r>
    </w:p>
    <w:p w:rsidR="006569C9" w:rsidRPr="006569C9" w:rsidRDefault="006569C9" w:rsidP="006569C9">
      <w:pPr>
        <w:spacing w:after="0" w:line="270" w:lineRule="atLeast"/>
        <w:ind w:left="127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bb)  a szennyvízgyűjtőjét környezetvédelmi szempontból nem megfelelő módon használja, vagy nem rendszeresen ürítteti, vagy az ahhoz való hozzáférés lehetőségét nem biztosítja.</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7.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települési szilárd hulladékkal összefüggően a közösségi együttélés alapvető szabályaiba ütköző magatartást követ el az az ingatlantulajdonos, aki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a gyűjtőedény kihelyezési helyét nem teszi megközelíthetővé, vagy akadálytól nem mentesíti, vagy hótól nem tisztítja,</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 gyűjtőedény tisztántartási, fertőtlenítési kötelezettségének nem tesz eleget,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c)  az összegyűjtött hulladékot nem üríthető állapotban tárolja, vagy az összetömörödött, befagyott hulladék üríthetőségéről nem gondoskodik,</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  a gyűjtőedényben veszélyes hulladékot, folyékony, mérgező, tűz – és robbanásveszélyes anyagot, állati tetemet izzó anyagot, illetve egyéb olyan hulladékot helyez, ami a gyűjtéssel foglalkozó közszolgáltató alkalmazottainak egészségét, élet vagy testi épségét veszélyezteti, a gyűjtőjárművek meghibásodásához vezet.</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8.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köztisztaság fenntartásával összefüggően a közösségi együttélés alapvető szabályaiba ütköző magatartást követ el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az ingatlan tulajdonosa vagy használója, ha az ingatlan telekhatárától mért 5 méteres területsávba (a továbbiakban: tisztántartási sáv) eső járda, zöldfelület, árok és annak műtárgyai tisztántartásáról a közút szegélyéig nem gondoskodik, a tisztántartási sávban összegyűlt hulladékkal az úttestet, zöldfelületet beszennyezi,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aki a tulajdonában vagy használatában lévő ingatlanról közterületre kihajló növények gallyazását nem végzi el,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c) aki a tisztántartási sáv zöldfelületéről járdára vagy közútra kihajló növények gallyazását, illetve a tisztántartási sávban lévő növények gallyazását nem végzi el,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d)  aki kommunális, ipari, szerves hulladékot éget,</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e)  aki avart, kerti hulladékot a köztisztaság fenntartásáról szóló önkormányzati rendeletben foglaltaktól eltérően nem hétköznaponként 9</w:t>
      </w:r>
      <w:r w:rsidRPr="006569C9">
        <w:rPr>
          <w:rFonts w:ascii="Arial" w:eastAsia="Times New Roman" w:hAnsi="Arial" w:cs="Arial"/>
          <w:color w:val="000000"/>
          <w:sz w:val="20"/>
          <w:szCs w:val="20"/>
          <w:vertAlign w:val="superscript"/>
          <w:lang w:eastAsia="hu-HU"/>
        </w:rPr>
        <w:t>00</w:t>
      </w:r>
      <w:r w:rsidRPr="006569C9">
        <w:rPr>
          <w:rFonts w:ascii="Arial" w:eastAsia="Times New Roman" w:hAnsi="Arial" w:cs="Arial"/>
          <w:color w:val="000000"/>
          <w:sz w:val="20"/>
          <w:szCs w:val="20"/>
          <w:lang w:eastAsia="hu-HU"/>
        </w:rPr>
        <w:t>- 18</w:t>
      </w:r>
      <w:r w:rsidRPr="006569C9">
        <w:rPr>
          <w:rFonts w:ascii="Arial" w:eastAsia="Times New Roman" w:hAnsi="Arial" w:cs="Arial"/>
          <w:color w:val="000000"/>
          <w:sz w:val="20"/>
          <w:szCs w:val="20"/>
          <w:vertAlign w:val="superscript"/>
          <w:lang w:eastAsia="hu-HU"/>
        </w:rPr>
        <w:t>00 </w:t>
      </w:r>
      <w:r w:rsidRPr="006569C9">
        <w:rPr>
          <w:rFonts w:ascii="Arial" w:eastAsia="Times New Roman" w:hAnsi="Arial" w:cs="Arial"/>
          <w:color w:val="000000"/>
          <w:sz w:val="20"/>
          <w:szCs w:val="20"/>
          <w:lang w:eastAsia="hu-HU"/>
        </w:rPr>
        <w:t>óra között éget, - a vasárnapi és ünnepnapi égetés tilalmát megszegi,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f)   az a fuvarozási tevékenységet végző, aki a közterületet telephelyként vagy állandó járműtárolásra használja,</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g)  aki közkifolyóból termőföldet locsol, gépjárművet mos, vagy a közkifolyó rendeltetésétől eltérő célra vizet használ,</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h.) a tulajdonos, üzemeltető, vagy a használó, aki a tulajdonát képező ingatlan előtti, melletti járdaszakasz tisztításáról, hó eltakarításáról, síkosság mentesítéséről nem gondoskodik,</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i.) aki belterületen zajjal járó építési, vagy egyéb olyan tevékenységet ( fűnyírás, favágás, köszörülés, flexelés ) munkanapon 19.00 óra és 7.00 óra között, szombat – vasárnap és ünnepnapokon 19.00 – 9.00 óra között végez,</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lastRenderedPageBreak/>
        <w:t>j.)  aki lakott területen, az ott lévő épületben, vagy az ahhoz tartozó telken, gépjárműben hangosító berendezést működtet, és ezzel indokolatlanul zajt okoz, amely alkalmas arra, hogy mások nyugalmát zavarja,</w:t>
      </w:r>
    </w:p>
    <w:p w:rsidR="006569C9" w:rsidRPr="006569C9" w:rsidRDefault="006569C9" w:rsidP="006569C9">
      <w:pPr>
        <w:spacing w:after="0" w:line="270" w:lineRule="atLeast"/>
        <w:ind w:left="598"/>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9.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közösségi együttélés alapvető szabályaiba ütköző magatartást követ el az ingatlantulajdonos vagy az ingatlant egyéb jogcímen használó, aki az ingatlanának rendben tartásáról, tisztántartásáról, gyommentesítéséről, allergén növények kiirtásáról nem gondoskodik, ingatlanán hulladékot raktároz, magatartásával a rovarok és a rágcsálók elszaporodását elősegíti.</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10.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közösségi együttélés alapvető szabályaiba ütköző magatartást követ el, aki a polgárok személyi adatainak és lakcímének nyilvántartásáról szóló 1992. évi LXVI. törvény 26. § (1) bekezdésében foglalt lakcím bejelentési kötelezettségének nem tesz eleget.</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11.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közösségi együttélés alapvető szabályaiba ütköző magatartást követ el, aki a tulajdonában vagy bármely más módon használatában lévő ingatlanon és területen tevékenységével másoknak zavaró módon bűzt, port vagy egyéb más zavaró hatást okoz.</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12. §</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közösségi együttélés alapvető szabályaiba ütköző magatartást követ el, aki</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a)  a helyi címerről és zászlóról szóló 13/1991. (X.26.) számú önkormányzati rendeletben foglalt kötelezettségeket megszegi, a település címerét és zászlaját engedély nélkül vagy attól eltérő módon használja,</w:t>
      </w:r>
    </w:p>
    <w:p w:rsidR="006569C9" w:rsidRPr="006569C9" w:rsidRDefault="006569C9" w:rsidP="006569C9">
      <w:pPr>
        <w:spacing w:after="0" w:line="270" w:lineRule="atLeast"/>
        <w:ind w:left="851"/>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b)  a közterületek elnevezése,házszámozásról szóló 11/2014. (X.1.) számú önkormányzati rendeletben meghatározott rendelkezéseket megszegi.</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567"/>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13. §</w:t>
      </w:r>
    </w:p>
    <w:p w:rsidR="006569C9" w:rsidRPr="006569C9" w:rsidRDefault="006569C9" w:rsidP="006569C9">
      <w:pPr>
        <w:spacing w:after="0" w:line="270" w:lineRule="atLeast"/>
        <w:ind w:left="426"/>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 A közösségi együttélés alapvető szabályaiba ütköző magatartást követ el, aki a zöldfelület élővilága elleni cselekményt valósít meg, azaz közterületi zöldfelületen</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a) növényeket engedély nélkül csonkít,</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b) fák törzsét vagy ágait engedély nélkül hirdetés, transzparens, reklámhordozó, kötél vagy kábel rögzítésére használja,</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c) közterületen lévő virágot, dísznövényt szed, károsít vagy élő növény részeit engedély nélkül begyűjti.</w:t>
      </w:r>
    </w:p>
    <w:p w:rsidR="006569C9" w:rsidRPr="006569C9" w:rsidRDefault="006569C9" w:rsidP="006569C9">
      <w:pPr>
        <w:spacing w:after="0" w:line="270" w:lineRule="atLeast"/>
        <w:ind w:left="567"/>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           </w:t>
      </w:r>
    </w:p>
    <w:p w:rsidR="006569C9" w:rsidRPr="006569C9" w:rsidRDefault="006569C9" w:rsidP="006569C9">
      <w:pPr>
        <w:spacing w:after="0" w:line="270" w:lineRule="atLeast"/>
        <w:ind w:left="709"/>
        <w:jc w:val="center"/>
        <w:textAlignment w:val="top"/>
        <w:rPr>
          <w:rFonts w:ascii="Arial" w:eastAsia="Times New Roman" w:hAnsi="Arial" w:cs="Arial"/>
          <w:color w:val="000000"/>
          <w:sz w:val="20"/>
          <w:szCs w:val="20"/>
          <w:lang w:eastAsia="hu-HU"/>
        </w:rPr>
      </w:pPr>
      <w:r w:rsidRPr="006569C9">
        <w:rPr>
          <w:rFonts w:ascii="Arial" w:eastAsia="Times New Roman" w:hAnsi="Arial" w:cs="Arial"/>
          <w:b/>
          <w:bCs/>
          <w:color w:val="000000"/>
          <w:sz w:val="20"/>
          <w:szCs w:val="20"/>
          <w:lang w:eastAsia="hu-HU"/>
        </w:rPr>
        <w:t>Záró rendelkezések</w:t>
      </w: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textAlignment w:val="top"/>
        <w:rPr>
          <w:rFonts w:ascii="Arial" w:eastAsia="Times New Roman" w:hAnsi="Arial" w:cs="Arial"/>
          <w:color w:val="000000"/>
          <w:sz w:val="20"/>
          <w:szCs w:val="20"/>
          <w:lang w:eastAsia="hu-HU"/>
        </w:rPr>
      </w:pPr>
    </w:p>
    <w:p w:rsidR="006569C9" w:rsidRPr="006569C9" w:rsidRDefault="006569C9" w:rsidP="006569C9">
      <w:pPr>
        <w:spacing w:after="0" w:line="270" w:lineRule="atLeast"/>
        <w:ind w:left="600"/>
        <w:textAlignment w:val="top"/>
        <w:rPr>
          <w:rFonts w:ascii="Arial" w:eastAsia="Times New Roman" w:hAnsi="Arial" w:cs="Arial"/>
          <w:color w:val="000000"/>
          <w:sz w:val="20"/>
          <w:szCs w:val="20"/>
          <w:lang w:eastAsia="hu-HU"/>
        </w:rPr>
      </w:pPr>
      <w:r w:rsidRPr="006569C9">
        <w:rPr>
          <w:rFonts w:ascii="Arial" w:eastAsia="Times New Roman" w:hAnsi="Arial" w:cs="Arial"/>
          <w:color w:val="000000"/>
          <w:sz w:val="20"/>
          <w:szCs w:val="20"/>
          <w:lang w:eastAsia="hu-HU"/>
        </w:rPr>
        <w:t>14. §  Ez a rendelet 2019. január 1. napján lép hatályba.</w:t>
      </w:r>
    </w:p>
    <w:p w:rsidR="008769C2" w:rsidRDefault="008769C2">
      <w:bookmarkStart w:id="0" w:name="_GoBack"/>
      <w:bookmarkEnd w:id="0"/>
    </w:p>
    <w:sectPr w:rsidR="0087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45915"/>
    <w:multiLevelType w:val="multilevel"/>
    <w:tmpl w:val="9B6A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53273"/>
    <w:multiLevelType w:val="multilevel"/>
    <w:tmpl w:val="360857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EB06B5D"/>
    <w:multiLevelType w:val="multilevel"/>
    <w:tmpl w:val="59EA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D3295A"/>
    <w:multiLevelType w:val="multilevel"/>
    <w:tmpl w:val="57A494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0"/>
  </w:num>
  <w:num w:numId="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C9"/>
    <w:rsid w:val="006569C9"/>
    <w:rsid w:val="008769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ADB5-AB4E-4391-B4EB-B3FA1660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656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569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569C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69C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569C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569C9"/>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6569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56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5775">
      <w:bodyDiv w:val="1"/>
      <w:marLeft w:val="0"/>
      <w:marRight w:val="0"/>
      <w:marTop w:val="0"/>
      <w:marBottom w:val="0"/>
      <w:divBdr>
        <w:top w:val="none" w:sz="0" w:space="0" w:color="auto"/>
        <w:left w:val="none" w:sz="0" w:space="0" w:color="auto"/>
        <w:bottom w:val="none" w:sz="0" w:space="0" w:color="auto"/>
        <w:right w:val="none" w:sz="0" w:space="0" w:color="auto"/>
      </w:divBdr>
      <w:divsChild>
        <w:div w:id="695153670">
          <w:marLeft w:val="0"/>
          <w:marRight w:val="0"/>
          <w:marTop w:val="150"/>
          <w:marBottom w:val="0"/>
          <w:divBdr>
            <w:top w:val="dotted" w:sz="6" w:space="8" w:color="C0C0C0"/>
            <w:left w:val="dotted" w:sz="6" w:space="8" w:color="C0C0C0"/>
            <w:bottom w:val="dotted" w:sz="6" w:space="8" w:color="C0C0C0"/>
            <w:right w:val="dotted" w:sz="6" w:space="8" w:color="C0C0C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1836</Words>
  <Characters>12670</Characters>
  <Application>Microsoft Office Word</Application>
  <DocSecurity>0</DocSecurity>
  <Lines>105</Lines>
  <Paragraphs>28</Paragraphs>
  <ScaleCrop>false</ScaleCrop>
  <Company/>
  <LinksUpToDate>false</LinksUpToDate>
  <CharactersWithSpaces>14478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2018-12-17T10:49:00Z</dcterms:created>
  <dcterms:modified xsi:type="dcterms:W3CDTF">2018-12-17T10:49:00Z</dcterms:modified>
</cp:coreProperties>
</file>