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b/>
          <w:sz w:val="24"/>
          <w:szCs w:val="24"/>
        </w:rPr>
        <w:t>Tiszanána Község Önkormányzata Képviselő-testületének 3/2020.(II.2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589A">
        <w:rPr>
          <w:rFonts w:ascii="Times New Roman" w:hAnsi="Times New Roman" w:cs="Times New Roman"/>
          <w:b/>
          <w:sz w:val="24"/>
          <w:szCs w:val="24"/>
        </w:rPr>
        <w:t>.) önkormányzati rendelte:</w:t>
      </w:r>
      <w:r w:rsidRPr="004A589A">
        <w:rPr>
          <w:rFonts w:ascii="Times New Roman" w:hAnsi="Times New Roman" w:cs="Times New Roman"/>
          <w:sz w:val="24"/>
          <w:szCs w:val="24"/>
        </w:rPr>
        <w:t xml:space="preserve"> Tiszanána Község Önkormányzata Képviselő-testületének Szervezeti és Működési Szabályzatáról szóló 18/2019.(XI.29.) önkormányzati rendeletének módosításáról. </w:t>
      </w:r>
    </w:p>
    <w:p w:rsidR="001F6DD8" w:rsidRPr="004A589A" w:rsidRDefault="001F6DD8" w:rsidP="001F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Tiszanána Község Önkormányzatának Képviselő-testülete az Alaptörvény 32. cikk (2) bekezdésében meghatározott eredeti jogalkotó hatáskörében, az Alaptörvény 32. cikk (1) bekezdés d.) pontjaiban meghatározott feladatkörében eljárva a következőket rendeli el.</w:t>
      </w: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89A">
        <w:rPr>
          <w:rFonts w:ascii="Times New Roman" w:hAnsi="Times New Roman" w:cs="Times New Roman"/>
          <w:b/>
          <w:sz w:val="24"/>
          <w:szCs w:val="24"/>
        </w:rPr>
        <w:t>1.§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Tiszanána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A589A">
        <w:rPr>
          <w:rFonts w:ascii="Times New Roman" w:hAnsi="Times New Roman" w:cs="Times New Roman"/>
          <w:sz w:val="24"/>
          <w:szCs w:val="24"/>
        </w:rPr>
        <w:t>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A589A">
        <w:rPr>
          <w:rFonts w:ascii="Times New Roman" w:hAnsi="Times New Roman" w:cs="Times New Roman"/>
          <w:sz w:val="24"/>
          <w:szCs w:val="24"/>
        </w:rPr>
        <w:t>épviselő-testületének Szervezeti és Működési Szabályzatáról szóló 18/2019.(XI.29.) önkormányzati rendelet a k</w:t>
      </w:r>
      <w:bookmarkStart w:id="0" w:name="bookmark0"/>
      <w:r w:rsidRPr="004A589A">
        <w:rPr>
          <w:rFonts w:ascii="Times New Roman" w:hAnsi="Times New Roman" w:cs="Times New Roman"/>
          <w:sz w:val="24"/>
          <w:szCs w:val="24"/>
        </w:rPr>
        <w:t>övetkező függelékkel egészül 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tabs>
          <w:tab w:val="left" w:pos="606"/>
        </w:tabs>
        <w:spacing w:line="240" w:lineRule="auto"/>
        <w:ind w:left="400" w:firstLine="0"/>
        <w:jc w:val="right"/>
        <w:rPr>
          <w:i w:val="0"/>
          <w:sz w:val="24"/>
          <w:szCs w:val="24"/>
        </w:rPr>
      </w:pPr>
      <w:r w:rsidRPr="004A589A">
        <w:rPr>
          <w:i w:val="0"/>
          <w:sz w:val="24"/>
          <w:szCs w:val="24"/>
        </w:rPr>
        <w:lastRenderedPageBreak/>
        <w:t>5.</w:t>
      </w:r>
      <w:r w:rsidRPr="004A589A">
        <w:rPr>
          <w:sz w:val="24"/>
          <w:szCs w:val="24"/>
        </w:rPr>
        <w:t xml:space="preserve"> </w:t>
      </w:r>
      <w:r w:rsidRPr="004A589A">
        <w:rPr>
          <w:i w:val="0"/>
          <w:sz w:val="24"/>
          <w:szCs w:val="24"/>
        </w:rPr>
        <w:t xml:space="preserve">függelék </w:t>
      </w:r>
      <w:r w:rsidRPr="00F61573">
        <w:rPr>
          <w:i w:val="0"/>
          <w:sz w:val="24"/>
          <w:szCs w:val="24"/>
        </w:rPr>
        <w:t>a</w:t>
      </w:r>
      <w:r w:rsidRPr="004A589A">
        <w:rPr>
          <w:i w:val="0"/>
          <w:sz w:val="24"/>
          <w:szCs w:val="24"/>
        </w:rPr>
        <w:t xml:space="preserve"> 18 /2019.(XI.29.) számú rendelethez</w:t>
      </w:r>
    </w:p>
    <w:p w:rsidR="001F6DD8" w:rsidRPr="004A589A" w:rsidRDefault="001F6DD8" w:rsidP="001F6DD8">
      <w:pPr>
        <w:pStyle w:val="Cmsor20"/>
        <w:keepNext/>
        <w:keepLines/>
        <w:shd w:val="clear" w:color="auto" w:fill="auto"/>
        <w:tabs>
          <w:tab w:val="left" w:pos="606"/>
        </w:tabs>
        <w:spacing w:line="240" w:lineRule="auto"/>
        <w:ind w:left="400" w:firstLine="0"/>
        <w:jc w:val="right"/>
        <w:rPr>
          <w:i w:val="0"/>
          <w:sz w:val="24"/>
          <w:szCs w:val="24"/>
        </w:rPr>
      </w:pPr>
    </w:p>
    <w:p w:rsidR="001F6DD8" w:rsidRPr="00FD5300" w:rsidRDefault="001F6DD8" w:rsidP="001F6DD8">
      <w:pPr>
        <w:pStyle w:val="Cmsor20"/>
        <w:keepNext/>
        <w:keepLines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r w:rsidRPr="00FD5300">
        <w:rPr>
          <w:i w:val="0"/>
          <w:sz w:val="24"/>
          <w:szCs w:val="24"/>
        </w:rPr>
        <w:t xml:space="preserve"> TISZANÁNA </w:t>
      </w:r>
      <w:proofErr w:type="gramStart"/>
      <w:r w:rsidRPr="00FD5300">
        <w:rPr>
          <w:i w:val="0"/>
          <w:sz w:val="24"/>
          <w:szCs w:val="24"/>
        </w:rPr>
        <w:t>KÖZSÉG  ÖNKORMÁNYZAT</w:t>
      </w:r>
      <w:proofErr w:type="gramEnd"/>
      <w:r w:rsidRPr="00FD5300">
        <w:rPr>
          <w:i w:val="0"/>
          <w:sz w:val="24"/>
          <w:szCs w:val="24"/>
        </w:rPr>
        <w:t xml:space="preserve"> KÉPVISELŐ-TESTÜLETÉNEK</w:t>
      </w:r>
      <w:bookmarkEnd w:id="0"/>
      <w:r>
        <w:rPr>
          <w:i w:val="0"/>
          <w:sz w:val="24"/>
          <w:szCs w:val="24"/>
        </w:rPr>
        <w:t xml:space="preserve"> </w:t>
      </w:r>
      <w:r w:rsidRPr="00FD5300">
        <w:rPr>
          <w:i w:val="0"/>
          <w:sz w:val="24"/>
          <w:szCs w:val="24"/>
        </w:rPr>
        <w:t xml:space="preserve">a községi önkormányzat képviselő tagjainak, valamint nem képviselő bizottsági tagjainak vagyonnyilatkozata </w:t>
      </w:r>
      <w:r w:rsidRPr="00FD5300">
        <w:rPr>
          <w:i w:val="0"/>
          <w:sz w:val="24"/>
          <w:szCs w:val="24"/>
          <w:shd w:val="clear" w:color="auto" w:fill="FFFFFF"/>
        </w:rPr>
        <w:t xml:space="preserve">átadására, nyilvántartására, őrzésére vonatkozó </w:t>
      </w:r>
      <w:r w:rsidRPr="00FD5300">
        <w:rPr>
          <w:i w:val="0"/>
          <w:sz w:val="24"/>
          <w:szCs w:val="24"/>
        </w:rPr>
        <w:t>szabályzata.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1F6DD8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Tiszanána község Önkormányzat Képviselő-testülete „Az egyes vagyonnyilatkozat-tételi kötelezettségekről szóló” 2007. évi CLII. törvény 11. § (6) és 14. § (2) bekezdésében kapott felhatalmazás alapján, a vagyonnyilatkozat átadásának, nyilvántartásának, az abban foglalt személyes adatok védelmének és a vagyongyarapodási vizsgálatot megelőző meghallgatás részletes szabályait a következők szerint határozza meg.</w:t>
      </w: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1" w:name="bookmark1"/>
      <w:r w:rsidRPr="004A589A">
        <w:rPr>
          <w:i w:val="0"/>
          <w:sz w:val="24"/>
          <w:szCs w:val="24"/>
        </w:rPr>
        <w:t>Általános rendelkezések</w:t>
      </w:r>
      <w:bookmarkEnd w:id="1"/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tv. (továbbiakban: </w:t>
      </w:r>
      <w:proofErr w:type="spellStart"/>
      <w:r w:rsidRPr="004A589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A589A">
        <w:rPr>
          <w:rFonts w:ascii="Times New Roman" w:hAnsi="Times New Roman" w:cs="Times New Roman"/>
          <w:sz w:val="24"/>
          <w:szCs w:val="24"/>
        </w:rPr>
        <w:t>.) 39. § (1) és 72. § (4) bekezdésében foglaltakra tekintettel a polgármester, (az alpolgármester), az önkormányzati képviselők, valamint a nem képviselő bizottsági tagok (a továbbiakban: nyilatkozattételre kötelezettek) a megválasztásuktól számított 30 napon belül, majd ezt követően minden év január 1. napjától számított 30 napon belül külön vagyonnyilatkozati dokumentum kitöltésével vagyonnyilatkozatot kötelesek tenni.</w:t>
      </w: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 nyilatkozattételre kötelezett a saját vagyonnyilatkozatához köteles csatolni a vele közös háztartásban élő házas-vagy élettársának, valamint gyermekeinek az </w:t>
      </w:r>
      <w:proofErr w:type="spellStart"/>
      <w:r w:rsidRPr="004A589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A589A">
        <w:rPr>
          <w:rFonts w:ascii="Times New Roman" w:hAnsi="Times New Roman" w:cs="Times New Roman"/>
          <w:sz w:val="24"/>
          <w:szCs w:val="24"/>
        </w:rPr>
        <w:t>. 2. melléklete szerinti vagyonnyilatkozatát is (továbbiakban: vagyonnyilatkozatok). (A vagyonnyilatkozati nyomtatványt a szabályzat 1. melléklete tartalmazza).</w:t>
      </w:r>
    </w:p>
    <w:p w:rsidR="001F6DD8" w:rsidRPr="00FD5300" w:rsidRDefault="001F6DD8" w:rsidP="001F6DD8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Amennyiben a nyilatkozattételre kötelezett a vagyonnyilatkozat-tételi kötelezettségének a fent említett határidőig nem tesz eleget, az - </w:t>
      </w:r>
      <w:proofErr w:type="spellStart"/>
      <w:r w:rsidRPr="004A589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A589A">
        <w:rPr>
          <w:rFonts w:ascii="Times New Roman" w:hAnsi="Times New Roman" w:cs="Times New Roman"/>
          <w:sz w:val="24"/>
          <w:szCs w:val="24"/>
        </w:rPr>
        <w:t>. 39. § (2) bekezdése alapján- a vagyonnyilatkozat benyújtásáig képviselői jogait nem gyakorolhatja, tiszteletdíjat, természetbeni juttatást, költségtérítést nem kaphat.</w:t>
      </w:r>
    </w:p>
    <w:p w:rsidR="001F6DD8" w:rsidRPr="004A589A" w:rsidRDefault="001F6DD8" w:rsidP="001F6DD8">
      <w:pPr>
        <w:widowControl w:val="0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2" w:name="bookmark2"/>
      <w:r w:rsidRPr="004A589A">
        <w:rPr>
          <w:i w:val="0"/>
          <w:sz w:val="24"/>
          <w:szCs w:val="24"/>
        </w:rPr>
        <w:t>A szabályzat hatálya</w:t>
      </w:r>
      <w:bookmarkEnd w:id="2"/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szabályzat hatálya Tiszanána Település Polgármesterére, Tiszanána Település Ónkormányzat Képviselő-testülete tagjaira, valamint a nem képviselő bizottsági tagjaira, az ENTER-NÁNA Kft. ügyvezetőjére, és a vagyonnyilatkozat-tételi eljárásban közreműködőkre terjed ki.</w:t>
      </w: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3" w:name="bookmark3"/>
      <w:r w:rsidRPr="004A589A">
        <w:rPr>
          <w:i w:val="0"/>
          <w:sz w:val="24"/>
          <w:szCs w:val="24"/>
        </w:rPr>
        <w:t>A vagyonnyilatkozati eljárásban közreműködők</w:t>
      </w:r>
      <w:bookmarkEnd w:id="3"/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FD5300" w:rsidRDefault="001F6DD8" w:rsidP="001F6DD8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 vagyonnyilatkozati eljárásban a vagyonnyilatkozat átadására, nyilvántartására, a vagyonnyilatkozatban foglalt személyes adatok védelmére, továbbá az ellenőrzéssel összefüggő feladatok ellátására a Képviselő-testület a </w:t>
      </w:r>
      <w:r w:rsidRPr="004A589A">
        <w:rPr>
          <w:rStyle w:val="Szvegtrzs2115ptFlkvr"/>
          <w:rFonts w:eastAsiaTheme="minorHAnsi"/>
          <w:sz w:val="24"/>
          <w:szCs w:val="24"/>
        </w:rPr>
        <w:t xml:space="preserve">Vagyonnyilatkozatokat és Összeférhetetlenségi Ügyeket Vizsgáló Bizottságot </w:t>
      </w:r>
      <w:r w:rsidRPr="004A589A">
        <w:rPr>
          <w:rFonts w:ascii="Times New Roman" w:hAnsi="Times New Roman" w:cs="Times New Roman"/>
          <w:sz w:val="24"/>
          <w:szCs w:val="24"/>
        </w:rPr>
        <w:t>(a továbbiakban: Bizottság), mint őrzésért felelőst jelöli ki.</w:t>
      </w:r>
    </w:p>
    <w:p w:rsidR="001F6DD8" w:rsidRPr="004A589A" w:rsidRDefault="001F6DD8" w:rsidP="001F6DD8">
      <w:pPr>
        <w:widowControl w:val="0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Pr="00FD5300" w:rsidRDefault="001F6DD8" w:rsidP="001F6DD8">
      <w:pPr>
        <w:widowControl w:val="0"/>
        <w:numPr>
          <w:ilvl w:val="0"/>
          <w:numId w:val="2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vagyonnyilatkozati eljárásban közreműködő Bizottság elnöke felel azért, ha a vagyonnyilatkozati eljárásban megismert adatok, tények az eljárási szabályok megszegésével, vagy más módon a Bizottságon kívül más személy vagy szerv tudomására jutnak.</w:t>
      </w:r>
    </w:p>
    <w:p w:rsidR="001F6DD8" w:rsidRDefault="001F6DD8" w:rsidP="001F6DD8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Pr="004A589A" w:rsidRDefault="001F6DD8" w:rsidP="001F6DD8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4" w:name="bookmark4"/>
      <w:r w:rsidRPr="004A589A">
        <w:rPr>
          <w:i w:val="0"/>
          <w:sz w:val="24"/>
          <w:szCs w:val="24"/>
        </w:rPr>
        <w:lastRenderedPageBreak/>
        <w:t xml:space="preserve">A </w:t>
      </w:r>
      <w:proofErr w:type="gramStart"/>
      <w:r w:rsidRPr="004A589A">
        <w:rPr>
          <w:i w:val="0"/>
          <w:sz w:val="24"/>
          <w:szCs w:val="24"/>
        </w:rPr>
        <w:t>Bizottság tájékoztatási</w:t>
      </w:r>
      <w:proofErr w:type="gramEnd"/>
      <w:r w:rsidRPr="004A589A">
        <w:rPr>
          <w:i w:val="0"/>
          <w:sz w:val="24"/>
          <w:szCs w:val="24"/>
        </w:rPr>
        <w:t xml:space="preserve"> kötelezettsége</w:t>
      </w:r>
      <w:bookmarkEnd w:id="4"/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Bizottság elnöke - legalább az esedékességet megelőző 8 nappal korábban - írásban tájékoztatja a kötelezettet a vagyonnyilatkozat-tételi kötelezettség fennállásáról, lényeges tartalmáról és esedékességének időpontjáról, valamint a kötelezettség elmulasztásának jogkövetkezményeiről.</w:t>
      </w:r>
    </w:p>
    <w:p w:rsidR="001F6DD8" w:rsidRPr="00FD5300" w:rsidRDefault="001F6DD8" w:rsidP="001F6DD8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tájékoztatáshoz mellékelni kell a vagyonnyilatkozat nyomtatványait és a kitöltéshez szükséges írásbeli útmutatót.</w:t>
      </w:r>
    </w:p>
    <w:p w:rsidR="001F6DD8" w:rsidRPr="004A589A" w:rsidRDefault="001F6DD8" w:rsidP="001F6DD8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5" w:name="bookmark5"/>
      <w:r w:rsidRPr="004A589A">
        <w:rPr>
          <w:i w:val="0"/>
          <w:sz w:val="24"/>
          <w:szCs w:val="24"/>
        </w:rPr>
        <w:t>A vagyonnyilatkozat kitöltésével kapcsolatos szabályok</w:t>
      </w:r>
      <w:bookmarkEnd w:id="5"/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vagyonnyilatkozatokat géppel vagy tollal, jól olvashatóan kell kitölteni. Abban az esetben, ha a nyilatkozat kitöltése során tévedés vagy elírás történik, a hibát a nyilatkozat kitöltője saját kezűleg javítja, aláírja és feltünteti a javítás dátumát. Azokat a sorokat, amelyekben a kötelezett nem tüntet fel adatot, ki kell húzni. Ha a nyomtatványon szereplő sorok kevésnek bizonyulnak a feltüntetendő adatokhoz, a további adatok közlése a nyomtatványhoz csatolt az eredetivel megegyező tartalmú pótlap, illetve csatolt melléklet segítségével oldható meg.</w:t>
      </w: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vagyonnyilatkozatot oldalanként alá kell írni, szerepeltetni kell a kitöltés dátumát. A nyilatkozattételre kötelezett hozzátartozóinak vagyonnyilatkozatát a vagyonnyilatkozatot tevő írja alá.</w:t>
      </w: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vagyonnyilatkozatokat két példányban kell kitölteni, amelyből egy példány a vagyonnyilatkozat-tételre kötelezettnél marad.</w:t>
      </w:r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bookmarkStart w:id="6" w:name="bookmark6"/>
      <w:r w:rsidRPr="004A589A">
        <w:rPr>
          <w:i w:val="0"/>
          <w:sz w:val="24"/>
          <w:szCs w:val="24"/>
        </w:rPr>
        <w:t>A Bizottság vagyonnyilatkozattal összefüggő feladatai</w:t>
      </w:r>
      <w:bookmarkEnd w:id="6"/>
    </w:p>
    <w:p w:rsidR="001F6DD8" w:rsidRPr="004A589A" w:rsidRDefault="001F6DD8" w:rsidP="001F6DD8">
      <w:pPr>
        <w:widowControl w:val="0"/>
        <w:numPr>
          <w:ilvl w:val="0"/>
          <w:numId w:val="3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Vagyonnyilatkozatok hivatalos átvétele;</w:t>
      </w:r>
    </w:p>
    <w:p w:rsidR="001F6DD8" w:rsidRPr="004A589A" w:rsidRDefault="001F6DD8" w:rsidP="001F6DD8">
      <w:pPr>
        <w:widowControl w:val="0"/>
        <w:numPr>
          <w:ilvl w:val="0"/>
          <w:numId w:val="3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Vagyonnyilatkozatok tárolása, kezelése;</w:t>
      </w:r>
    </w:p>
    <w:p w:rsidR="001F6DD8" w:rsidRPr="004A589A" w:rsidRDefault="001F6DD8" w:rsidP="001F6DD8">
      <w:pPr>
        <w:widowControl w:val="0"/>
        <w:numPr>
          <w:ilvl w:val="0"/>
          <w:numId w:val="3"/>
        </w:num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Vagyonnyilatkozattal kapcsolatos ellenőrzési feladatok lebonyolítása.</w:t>
      </w:r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bookmarkStart w:id="7" w:name="bookmark7"/>
      <w:r w:rsidRPr="004A589A">
        <w:rPr>
          <w:rStyle w:val="Cmsor2CordiaUPC15ptNemflkvrNemdlt"/>
          <w:sz w:val="24"/>
          <w:szCs w:val="24"/>
        </w:rPr>
        <w:t>1</w:t>
      </w:r>
      <w:r w:rsidRPr="004A589A">
        <w:rPr>
          <w:rStyle w:val="Cmsor2FranklinGothicBook9ptNemflkvrNemdlt"/>
          <w:sz w:val="24"/>
          <w:szCs w:val="24"/>
        </w:rPr>
        <w:t xml:space="preserve">. </w:t>
      </w:r>
      <w:r w:rsidRPr="004A589A">
        <w:rPr>
          <w:i w:val="0"/>
          <w:sz w:val="24"/>
          <w:szCs w:val="24"/>
        </w:rPr>
        <w:t>Vagyonnyilatkozatok hivatalos átvétele:</w:t>
      </w:r>
      <w:bookmarkEnd w:id="7"/>
    </w:p>
    <w:p w:rsidR="001F6DD8" w:rsidRPr="004A589A" w:rsidRDefault="001F6DD8" w:rsidP="001F6DD8">
      <w:pPr>
        <w:widowControl w:val="0"/>
        <w:numPr>
          <w:ilvl w:val="0"/>
          <w:numId w:val="4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kitöltött vagyonnyilatkozatok egy példányát a Bizottságnak címezve kell benyújtani a jogszabályban meghatározott határidőben. A vagyonnyilatkozatokat a Bizottság elnöke veszi át és írásbeli igazolást állít ki a nyilatkozattételre kötelezett részére a vagyonnyilatkozatok átvételéről. (Az átvételi igazolást a szabályzat 2-4. mellékletei tartalmazzák).</w:t>
      </w:r>
    </w:p>
    <w:p w:rsidR="001F6DD8" w:rsidRPr="004A589A" w:rsidRDefault="001F6DD8" w:rsidP="001F6DD8">
      <w:pPr>
        <w:widowControl w:val="0"/>
        <w:numPr>
          <w:ilvl w:val="0"/>
          <w:numId w:val="4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nyilatkozattételre kötelezettek vagyonnyilatkozatát nyitott borítékban, a hozzátartozói vagyonnyilatkozatot külön-külön, lezárt borítékban kell leadni. A borítékokat névvel kell ellátni, figyelemmel arra, hogy a nyilatkozattételre kötelezettek vagyonnyilatkozata nyilvános, ugyanakkor a hozzátartozói vagyonnyilatkozatba csak a vagyonnyilatkozatokat kezelő Bizottság tagjai tekinthetnek be, és ők is csak ellenőrzés céljából. A boríték lezártnak tekinthető, amennyiben azt leragasztották és a ragasztásnál a vagyonnyilatkozat tételre kötelezett ellátta kézjegyével.</w:t>
      </w:r>
    </w:p>
    <w:p w:rsidR="001F6DD8" w:rsidRPr="004A589A" w:rsidRDefault="001F6DD8" w:rsidP="001F6DD8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vagyonnyilatkozatot tartalmazó borítékra rá kell vezetni a nyilatkozattételre köteles nevét és a nyilvántartásba vétel évét</w:t>
      </w:r>
      <w:proofErr w:type="gramStart"/>
      <w:r w:rsidRPr="004A58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6DD8" w:rsidRPr="00FD5300" w:rsidRDefault="001F6DD8" w:rsidP="001F6DD8">
      <w:pPr>
        <w:widowControl w:val="0"/>
        <w:numPr>
          <w:ilvl w:val="0"/>
          <w:numId w:val="4"/>
        </w:numPr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vagyonnyilatkozatok egy példánya a vagyonnyilatkozatok kezelésére kijelölt Bizottságnál maradnak, másik példányának megőrzéséről a vagyonnyilatkozat-tételre kötelezett gondoskodik, különös tekintettel egy esetleges ellenőrzési eljárás lehetőségére is.</w:t>
      </w:r>
    </w:p>
    <w:p w:rsidR="001F6DD8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D8" w:rsidRPr="004A589A" w:rsidRDefault="001F6DD8" w:rsidP="001F6DD8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Style w:val="Szvegtrzs2"/>
          <w:rFonts w:eastAsiaTheme="minorHAnsi"/>
          <w:sz w:val="24"/>
          <w:szCs w:val="24"/>
        </w:rPr>
        <w:lastRenderedPageBreak/>
        <w:t>Hozzátartozók:</w:t>
      </w: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Vagyonnyilatkozat-tételi kötelezettséggel érintett a polgármesterrel, (az önkormányzati képviselővel és a nem képviselő bizottsági taggal közös háztartásban élő házas- vagy élettársa, valamint gyermeke is. Közös háztartásban élő hozzátartozónak minősül a vagyon nyilatkozat</w:t>
      </w:r>
      <w:r w:rsidRPr="004A589A">
        <w:rPr>
          <w:rFonts w:ascii="Times New Roman" w:hAnsi="Times New Roman" w:cs="Times New Roman"/>
          <w:sz w:val="24"/>
          <w:szCs w:val="24"/>
        </w:rPr>
        <w:softHyphen/>
        <w:t>tételre kötelezettel életvitelszerűen (közös lakásban), gazdasági közösségben (jövedelmeiket közös célra felhasználva) együtt élő házastárs, élettárs vagy gyermek.</w:t>
      </w:r>
    </w:p>
    <w:p w:rsidR="001F6DD8" w:rsidRPr="004A589A" w:rsidRDefault="001F6DD8" w:rsidP="001F6DD8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bookmarkStart w:id="8" w:name="bookmark8"/>
      <w:r w:rsidRPr="004A589A">
        <w:rPr>
          <w:i w:val="0"/>
          <w:sz w:val="24"/>
          <w:szCs w:val="24"/>
        </w:rPr>
        <w:t>Vagyonnyilatkozatok tárolása, kezelése</w:t>
      </w:r>
      <w:bookmarkEnd w:id="8"/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Bizottság a vonatkozó jogszabályok és a jelen szabályzatban foglaltaknak megfelelően nyilvántartja és ellenőrzi a nyilatkozattételre kötelezettek és hozzátartozóik vagyonnyilatkozatait, továbbá a vagyonnyilatkozattal kapcsolatban keletkezett iratokat. A vagyonnyilatkozatokat az egyéb iratoktól elkülönítetten, zártan kell kezelni és tárolni.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vagyonnyilatkozatokról és az ellenőrzési eljárásról nyilvántartást kell vezetni.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Bizottság felel azért, hogy a vagyonnyilatkozatokat az adatvédelmi szabályoknak megfelelően őrizzék, kezeljék és hogy az azokban foglaltakat - a nyilvános vagyonnyilatkozatok kivételével - más ne ismerje meg.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Ha a vagyonnyilatkozat tételére kötelezett személy a Bizottságnak írásban bejelenti, hogy a közös háztartásban élő házas- vagy élettársa és gyermeke esetén a közös háztartásban élés megszűnt, a Bizottság az általa kezelt hozzátartozói vagyonnyilatkozatokat haladéktalanul visszaadja a képviselőnek, amiről igazolást állít ki.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nyilatkozattételre kötelezett és hozzátartozója által, tárgyévben tett vagyonnyilatkozatának benyújtását követően, az előző évre vonatkozó vagyonnyilatkozatukat a vagyonnyilatkozat-vizsgáló Bizottság a nyilatkozattételre kötelezettnek visszaadja, amiről igazolást állít ki.</w:t>
      </w:r>
    </w:p>
    <w:p w:rsidR="001F6DD8" w:rsidRPr="004A589A" w:rsidRDefault="001F6DD8" w:rsidP="001F6DD8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bookmarkStart w:id="9" w:name="bookmark9"/>
      <w:r w:rsidRPr="004A589A">
        <w:rPr>
          <w:i w:val="0"/>
          <w:sz w:val="24"/>
          <w:szCs w:val="24"/>
        </w:rPr>
        <w:t>Vagyonnyilatkozattal kapcsolatos ellenőrzési feladatok lebonyolítása</w:t>
      </w:r>
      <w:bookmarkEnd w:id="9"/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nyilatkozattételre kötelezettek vagyonnyilatkozata - az ellenőrzéshez szolgáltatott azonosító, részletes adatok kivételével - közérdekből nyilvános. Az ezekbe történő betekintést a Bizottság elnöke biztosítja. A betekintést a Bizottság elnöke a vagyonnyilatkozatok őrzésének helyén biztosítja azzal, hogy a betekintő a nyilatkozatról feljegyzést készíthet, azonban arról papír alapú, avagy elektronikus másolatot nem készíthet.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hozzátartozó nyilatkozata nem nyilvános, abba csak a Bizottság tagjai tekinthetnek be ellenőrzés céljából.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Bizottság kizárólag akkor jogosult a vagyonnyilatkozatokba betekinteni, ha ellenőrzésre irányuló bejelentés, kezdeményezés indul. A vagyonnyilatkozattal kapcsolatos eljárást a Bizottságnál bárki kezdeményezheti. A vagyonnyilatkozattal kapcsolatos eljárás célja a vagyonnyilatkozatban foglaltak valóságtartalmának ellenőrzése.</w:t>
      </w:r>
    </w:p>
    <w:p w:rsidR="001F6DD8" w:rsidRPr="004A589A" w:rsidRDefault="001F6DD8" w:rsidP="001F6DD8">
      <w:pPr>
        <w:tabs>
          <w:tab w:val="left" w:pos="4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Az eljárást írásban kell kezdeményezni, a kezdeményező nevének és értesítési címének, valamint a bejelentés alapjául szolgáló bizonyítékok megjelölésével. Ha a kezdeményező a nevét és az értesítési címét nem adja meg, a Bizottság csak a bejelentés alapjául szolgáló bizonyítékok hitelt érdemlősége esetén indítja meg az eljárást.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vagyonnyilatkozattal kapcsolatos eljárás lefolytatásának a vagyonnyilatkozat konkrét tartalmára vonatkozó tényállítás esetén van helye. Ha az eljárásra irányuló kezdeményezés nem jelöli meg konkrétan a vagyonnyilatkozat kifogásolt részét és tartalmát, továbbá a bejelentés alapjául szolgáló bizonyítékokat, a Bizottság elnöke az eljárás lefolytatása nélkül elutasítja a kezdeményezést.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Eljárás megindítása esetén a Bizottság elnöke erről a bejelentést követő nyolc napon belül - a bejelentés megküldésével - tájékoztatja a nyilatkozattételre kötelezettet, és egyidejűleg felhívja a bejelentéssel érintett adatok hitelt érdemlő bizonyítására.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A589A">
        <w:rPr>
          <w:rFonts w:ascii="Times New Roman" w:hAnsi="Times New Roman" w:cs="Times New Roman"/>
          <w:sz w:val="24"/>
          <w:szCs w:val="24"/>
        </w:rPr>
        <w:lastRenderedPageBreak/>
        <w:t>A tájékoztatást követően a képviselő nyolc napon belül köteles vagyonnyilatkozatában feltüntetett vagyoni, jövedelmi és érdekeltségi viszonyra vonatkozó azonosító adatairól szóló igazolásokat a Bizottság elnökének benyújtani. Az azonosító adatokat csak a Bizottság tagjai ismerhetik meg, azokat az eljárás lezárását követő nyolc napon belül törölni kell.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 Bizottság az eljárást zárt ülésen folytatja le, amelyről jegyzőkönyv készül. A </w:t>
      </w:r>
      <w:proofErr w:type="gramStart"/>
      <w:r w:rsidRPr="004A589A">
        <w:rPr>
          <w:rFonts w:ascii="Times New Roman" w:hAnsi="Times New Roman" w:cs="Times New Roman"/>
          <w:sz w:val="24"/>
          <w:szCs w:val="24"/>
        </w:rPr>
        <w:t>Bizottság bizonyításra</w:t>
      </w:r>
      <w:proofErr w:type="gramEnd"/>
      <w:r w:rsidRPr="004A589A">
        <w:rPr>
          <w:rFonts w:ascii="Times New Roman" w:hAnsi="Times New Roman" w:cs="Times New Roman"/>
          <w:sz w:val="24"/>
          <w:szCs w:val="24"/>
        </w:rPr>
        <w:t xml:space="preserve"> vonatkozó eljárási cselekményei a hitelt érdemlő okiratok beszerzéseire irányulhatnak. A Bizottság legkésőbb a bejelentéstől számított második soros ülésén lezárja az eljárást és annak eredményéről a soron következő ülésén - az ügy eldöntéséhez szükséges dokumentumok benyújtásával - tájékoztatja a képviselő-testületet. A képviselő-testület az eljárás lezárásáról indokolással ellátott határozattal dönt.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vagyonnyilatkozattal kapcsolatos eljárás megismétlésének ugyanazon vagyonnyilatkozat esetében csak akkor van helye, ha az erre irányuló kezdeményezés új tényállást tartalmaz. A vagyonnyilatkozattal kapcsolatos eljárásra irányuló - új tényállás nélküli - ismételt kezdeményezést a Bizottság elnöke az eljárás lefolytatása nélkül elutasítja.</w:t>
      </w:r>
    </w:p>
    <w:p w:rsidR="001F6DD8" w:rsidRPr="004A589A" w:rsidRDefault="001F6DD8" w:rsidP="001F6DD8">
      <w:pPr>
        <w:widowControl w:val="0"/>
        <w:numPr>
          <w:ilvl w:val="1"/>
          <w:numId w:val="1"/>
        </w:numPr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vagyonnyilatkozattal kapcsolatos ellenőrzési eljárás során a nyilatkozattételre kötelezettek és hozzátartozói vagyonnyilatkozatba való betekintést az 5. melléklet szerint vezetett „Nyilvántartás a vagyonnyilatkozatba történő betekintésről” dokumentálni kell.</w:t>
      </w:r>
    </w:p>
    <w:p w:rsidR="001F6DD8" w:rsidRPr="00FD5300" w:rsidRDefault="001F6DD8" w:rsidP="001F6DD8">
      <w:pPr>
        <w:widowControl w:val="0"/>
        <w:numPr>
          <w:ilvl w:val="1"/>
          <w:numId w:val="1"/>
        </w:numPr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Bizottság ellenőrzési eljárásának eredményéről a Képviselő-testületet a soron következő ülésen tájékoztatni kell.</w:t>
      </w:r>
    </w:p>
    <w:p w:rsidR="001F6DD8" w:rsidRPr="004A589A" w:rsidRDefault="001F6DD8" w:rsidP="001F6DD8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40" w:firstLine="0"/>
        <w:jc w:val="center"/>
        <w:rPr>
          <w:i w:val="0"/>
          <w:sz w:val="24"/>
          <w:szCs w:val="24"/>
        </w:rPr>
      </w:pPr>
      <w:bookmarkStart w:id="10" w:name="bookmark10"/>
      <w:r w:rsidRPr="004A589A">
        <w:rPr>
          <w:i w:val="0"/>
          <w:sz w:val="24"/>
          <w:szCs w:val="24"/>
        </w:rPr>
        <w:t>Felelősségi szabályok</w:t>
      </w:r>
      <w:bookmarkEnd w:id="10"/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 vagyonnyilatkozatokkal kapcsolatos adatok védelméért, az adatkezelés jogszerűségéért a </w:t>
      </w:r>
      <w:proofErr w:type="gramStart"/>
      <w:r w:rsidRPr="004A589A">
        <w:rPr>
          <w:rFonts w:ascii="Times New Roman" w:hAnsi="Times New Roman" w:cs="Times New Roman"/>
          <w:sz w:val="24"/>
          <w:szCs w:val="24"/>
        </w:rPr>
        <w:t>Bizottság felelős</w:t>
      </w:r>
      <w:proofErr w:type="gramEnd"/>
      <w:r w:rsidRPr="004A589A">
        <w:rPr>
          <w:rFonts w:ascii="Times New Roman" w:hAnsi="Times New Roman" w:cs="Times New Roman"/>
          <w:sz w:val="24"/>
          <w:szCs w:val="24"/>
        </w:rPr>
        <w:t>.</w:t>
      </w:r>
    </w:p>
    <w:p w:rsidR="001F6DD8" w:rsidRPr="004A589A" w:rsidRDefault="001F6DD8" w:rsidP="001F6DD8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nyilatkozattételre kötelezett felelős azért, hogy az általa bejelentett adatok hitelesek, pontosak, teljes körűek és aktuálisak legyenek.</w:t>
      </w:r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rPr>
          <w:i w:val="0"/>
          <w:sz w:val="24"/>
          <w:szCs w:val="24"/>
        </w:rPr>
      </w:pPr>
    </w:p>
    <w:p w:rsidR="001F6DD8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  <w:r w:rsidRPr="004A589A">
        <w:rPr>
          <w:i w:val="0"/>
          <w:sz w:val="24"/>
          <w:szCs w:val="24"/>
        </w:rPr>
        <w:t>Záró rendelkezések</w:t>
      </w:r>
    </w:p>
    <w:p w:rsidR="001F6DD8" w:rsidRPr="004A589A" w:rsidRDefault="001F6DD8" w:rsidP="001F6DD8">
      <w:pPr>
        <w:pStyle w:val="Cmsor20"/>
        <w:keepNext/>
        <w:keepLines/>
        <w:shd w:val="clear" w:color="auto" w:fill="auto"/>
        <w:spacing w:line="240" w:lineRule="auto"/>
        <w:ind w:right="20" w:firstLine="0"/>
        <w:jc w:val="center"/>
        <w:rPr>
          <w:i w:val="0"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Tiszanána Községi Önkormányzat Képviselő-testülete tagjainak, valamint nem képviselő bizottsági tagjainak vagyonnyilatkozat-tételi kötelezettsége teljesítésével kapcsolatos eljárásról szóló szabályzata 2020. január 2. napján lép hatályba.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 w:rsidRPr="004A589A">
        <w:rPr>
          <w:b w:val="0"/>
          <w:bCs w:val="0"/>
          <w:sz w:val="24"/>
          <w:szCs w:val="24"/>
        </w:rPr>
        <w:t xml:space="preserve">                                                                  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Default="001F6DD8" w:rsidP="001F6DD8">
      <w:pPr>
        <w:pStyle w:val="Szvegtrzs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1F6DD8" w:rsidRDefault="001F6DD8" w:rsidP="001F6DD8">
      <w:pPr>
        <w:pStyle w:val="Szvegtrzs30"/>
        <w:shd w:val="clear" w:color="auto" w:fill="auto"/>
        <w:spacing w:after="0" w:line="240" w:lineRule="auto"/>
        <w:jc w:val="right"/>
        <w:rPr>
          <w:bCs w:val="0"/>
          <w:sz w:val="24"/>
          <w:szCs w:val="24"/>
        </w:rPr>
      </w:pPr>
      <w:r w:rsidRPr="004A589A">
        <w:rPr>
          <w:b w:val="0"/>
          <w:bCs w:val="0"/>
          <w:sz w:val="24"/>
          <w:szCs w:val="24"/>
        </w:rPr>
        <w:lastRenderedPageBreak/>
        <w:t xml:space="preserve">                                                          </w:t>
      </w:r>
      <w:r w:rsidRPr="004A589A">
        <w:rPr>
          <w:bCs w:val="0"/>
          <w:sz w:val="24"/>
          <w:szCs w:val="24"/>
        </w:rPr>
        <w:t>6. függelék a 18/2019. (XI.29.) rendelethez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bCs w:val="0"/>
          <w:sz w:val="24"/>
          <w:szCs w:val="24"/>
        </w:rPr>
      </w:pPr>
    </w:p>
    <w:p w:rsidR="001F6DD8" w:rsidRDefault="001F6DD8" w:rsidP="001F6DD8">
      <w:pPr>
        <w:pStyle w:val="Szvegtrzs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 w:rsidRPr="004A589A">
        <w:rPr>
          <w:b w:val="0"/>
          <w:bCs w:val="0"/>
          <w:sz w:val="24"/>
          <w:szCs w:val="24"/>
        </w:rPr>
        <w:t>a</w:t>
      </w:r>
      <w:proofErr w:type="gramEnd"/>
      <w:r w:rsidRPr="004A589A">
        <w:rPr>
          <w:b w:val="0"/>
          <w:bCs w:val="0"/>
          <w:sz w:val="24"/>
          <w:szCs w:val="24"/>
        </w:rPr>
        <w:t xml:space="preserve"> Tiszanánai Polgármes</w:t>
      </w:r>
      <w:r>
        <w:rPr>
          <w:b w:val="0"/>
          <w:bCs w:val="0"/>
          <w:sz w:val="24"/>
          <w:szCs w:val="24"/>
        </w:rPr>
        <w:t xml:space="preserve">teri Hivatalban foglalkoztatott </w:t>
      </w:r>
      <w:r w:rsidRPr="004A589A">
        <w:rPr>
          <w:b w:val="0"/>
          <w:sz w:val="24"/>
          <w:szCs w:val="24"/>
        </w:rPr>
        <w:t>köztisztviselők vagyonnyilatkozat-tételéről, átadásáról, kezeléséről</w:t>
      </w:r>
      <w:r>
        <w:rPr>
          <w:b w:val="0"/>
          <w:sz w:val="24"/>
          <w:szCs w:val="24"/>
        </w:rPr>
        <w:t xml:space="preserve">, </w:t>
      </w:r>
      <w:r w:rsidRPr="004A589A">
        <w:rPr>
          <w:b w:val="0"/>
          <w:sz w:val="24"/>
          <w:szCs w:val="24"/>
        </w:rPr>
        <w:t>nyilvántartásáról, az abban foglalt adatok védel</w:t>
      </w:r>
      <w:r>
        <w:rPr>
          <w:b w:val="0"/>
          <w:sz w:val="24"/>
          <w:szCs w:val="24"/>
        </w:rPr>
        <w:t xml:space="preserve">méről és az ellenőrzési </w:t>
      </w:r>
      <w:proofErr w:type="spellStart"/>
      <w:r>
        <w:rPr>
          <w:b w:val="0"/>
          <w:sz w:val="24"/>
          <w:szCs w:val="24"/>
        </w:rPr>
        <w:t>eljárás</w:t>
      </w:r>
      <w:r w:rsidRPr="004A589A">
        <w:rPr>
          <w:b w:val="0"/>
          <w:sz w:val="24"/>
          <w:szCs w:val="24"/>
        </w:rPr>
        <w:t>kezdeményezése</w:t>
      </w:r>
      <w:proofErr w:type="spellEnd"/>
      <w:r w:rsidRPr="004A589A">
        <w:rPr>
          <w:b w:val="0"/>
          <w:sz w:val="24"/>
          <w:szCs w:val="24"/>
        </w:rPr>
        <w:t xml:space="preserve"> előtti meghallgatás lefolytatásának szabályairól</w:t>
      </w:r>
      <w:r>
        <w:rPr>
          <w:b w:val="0"/>
          <w:sz w:val="24"/>
          <w:szCs w:val="24"/>
        </w:rPr>
        <w:t>: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4480"/>
        <w:jc w:val="left"/>
        <w:rPr>
          <w:sz w:val="24"/>
          <w:szCs w:val="24"/>
        </w:rPr>
      </w:pPr>
      <w:r w:rsidRPr="004A589A">
        <w:rPr>
          <w:sz w:val="24"/>
          <w:szCs w:val="24"/>
        </w:rPr>
        <w:t>I.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sz w:val="24"/>
          <w:szCs w:val="24"/>
        </w:rPr>
      </w:pPr>
      <w:r w:rsidRPr="004A589A">
        <w:rPr>
          <w:sz w:val="24"/>
          <w:szCs w:val="24"/>
        </w:rPr>
        <w:t>Általános rendelkezések</w:t>
      </w:r>
    </w:p>
    <w:p w:rsidR="001F6DD8" w:rsidRPr="004A589A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 xml:space="preserve">Az egyes vagyonnyilatkozat-tételi kötelezettségekről szóló 2007. évi CLII. törvény (a továbbiakban </w:t>
      </w:r>
      <w:proofErr w:type="spellStart"/>
      <w:r w:rsidRPr="004A589A">
        <w:rPr>
          <w:sz w:val="24"/>
          <w:szCs w:val="24"/>
        </w:rPr>
        <w:t>Vnytv</w:t>
      </w:r>
      <w:proofErr w:type="spellEnd"/>
      <w:r w:rsidRPr="004A589A">
        <w:rPr>
          <w:sz w:val="24"/>
          <w:szCs w:val="24"/>
        </w:rPr>
        <w:t xml:space="preserve">.) rendelkezései alapján, az 1. számú mellékletben meghatározott munkakört betöltő köztisztviselők (a továbbiakban kötelezett), az ott meghatározott gyakorisággal, a </w:t>
      </w:r>
      <w:proofErr w:type="spellStart"/>
      <w:r w:rsidRPr="004A589A">
        <w:rPr>
          <w:sz w:val="24"/>
          <w:szCs w:val="24"/>
        </w:rPr>
        <w:t>Vnytv</w:t>
      </w:r>
      <w:proofErr w:type="spellEnd"/>
      <w:r w:rsidRPr="004A589A">
        <w:rPr>
          <w:sz w:val="24"/>
          <w:szCs w:val="24"/>
        </w:rPr>
        <w:t>. melléklete szerinti vagyonnyilatkozatot kötelesek tenni.</w:t>
      </w:r>
    </w:p>
    <w:p w:rsidR="001F6DD8" w:rsidRPr="004A589A" w:rsidRDefault="001F6DD8" w:rsidP="001F6DD8">
      <w:pPr>
        <w:pStyle w:val="Szvegtrzs40"/>
        <w:shd w:val="clear" w:color="auto" w:fill="auto"/>
        <w:tabs>
          <w:tab w:val="left" w:pos="351"/>
        </w:tabs>
        <w:spacing w:before="0" w:line="240" w:lineRule="auto"/>
        <w:ind w:left="380"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kötelezettnek nem csak saját magára vonatkozóan, hanem a vele egy háztartásban élő hozzátartozók tekintetében is vagyonnyilatkozatot kell tennie.</w:t>
      </w:r>
    </w:p>
    <w:p w:rsidR="001F6DD8" w:rsidRPr="004A589A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Hozzátartozónak minősül a házastárs, az élettárs, valamint a kötelezettel közös háztartásban élő szülő, gyermek, a házastárs gyermeke, ideértve az örökbefogadott és a nevelt gyermeket is.</w:t>
      </w:r>
    </w:p>
    <w:p w:rsidR="001F6DD8" w:rsidRPr="004A589A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jegyző a kötelezettet a vagyonnyilatkozat-tételi kötelezettségről, annak jogcíméről, gyakoriságáról, a nyilatkozattétel esedékességéről és a kötelezettség megszegésének jogkövetkezményeiről az esedékességet megelőzően legalább 30 nappal tájékoztatja - kivéve a vagyonnyilatkozat-tételi kötelezettséget keletkeztető jogviszony, beosztás létesítésének, munka- vagy feladatkör betöltésének eseteit.</w:t>
      </w:r>
    </w:p>
    <w:p w:rsidR="001F6DD8" w:rsidRPr="004A589A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 xml:space="preserve">Annak, aki vagyonnyilatkozat-tételi kötelezettségének a teljesítését megtagadja, a vagyonnyilatkozat-tételi kötelezettséget megalapozó megbízatását vagy jogviszonyát - az arra vonatkozó, külön jogszabályban meghatározott megszüntetési okoktól függetlenül - meg kell szüntetni, és a jogviszony megszűnésétől számított három évig közszolgálati jogviszonyt nem létesíthet, valamint a </w:t>
      </w:r>
      <w:proofErr w:type="spellStart"/>
      <w:r w:rsidRPr="004A589A">
        <w:rPr>
          <w:sz w:val="24"/>
          <w:szCs w:val="24"/>
        </w:rPr>
        <w:t>Vnytv</w:t>
      </w:r>
      <w:proofErr w:type="spellEnd"/>
      <w:r w:rsidRPr="004A589A">
        <w:rPr>
          <w:sz w:val="24"/>
          <w:szCs w:val="24"/>
        </w:rPr>
        <w:t>. szerinti vagyonnyilatkozat-tételi kötelezettséget megalapozó munkakört, feladatkört, tevékenységet vagy beosztást nem láthat el.</w:t>
      </w:r>
    </w:p>
    <w:p w:rsidR="001F6DD8" w:rsidRDefault="001F6DD8" w:rsidP="001F6DD8">
      <w:pPr>
        <w:pStyle w:val="Szvegtrzs40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Ha a kötelezett nem tesz vagyonnyilatkozatot, a jegyző köteles a kötelezettet felszólítani arra, hogy e kötelezettségét a felszólítás kézhezvételétől számított nyolc napon belül teljesítse. Ha ez a határidő eredménytelenül telik el, azt a vagyonnyilatkozat-tételi kötelezettség megtagadásának kell tekinteni, kivéve, ha a kötelezett a kötelezettségének önhibáján kívül nem tudott eleget tenni.</w:t>
      </w:r>
    </w:p>
    <w:p w:rsidR="001F6DD8" w:rsidRDefault="001F6DD8" w:rsidP="001F6DD8">
      <w:pPr>
        <w:pStyle w:val="Szvegtrzs30"/>
        <w:shd w:val="clear" w:color="auto" w:fill="auto"/>
        <w:spacing w:after="0" w:line="240" w:lineRule="auto"/>
        <w:ind w:left="4420"/>
        <w:jc w:val="left"/>
        <w:rPr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4420"/>
        <w:jc w:val="left"/>
        <w:rPr>
          <w:sz w:val="24"/>
          <w:szCs w:val="24"/>
        </w:rPr>
      </w:pPr>
      <w:r w:rsidRPr="004A589A">
        <w:rPr>
          <w:sz w:val="24"/>
          <w:szCs w:val="24"/>
        </w:rPr>
        <w:t>II.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589A">
        <w:rPr>
          <w:sz w:val="24"/>
          <w:szCs w:val="24"/>
        </w:rPr>
        <w:t>A vagyonnyilatkozat benyújtásával és átadásával kapcsolatos szabályok</w:t>
      </w: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 xml:space="preserve">A vagyonnyilatkozatokat két példányban a </w:t>
      </w:r>
      <w:proofErr w:type="spellStart"/>
      <w:r w:rsidRPr="004A589A">
        <w:rPr>
          <w:sz w:val="24"/>
          <w:szCs w:val="24"/>
        </w:rPr>
        <w:t>Vnytv</w:t>
      </w:r>
      <w:proofErr w:type="spellEnd"/>
      <w:r w:rsidRPr="004A589A">
        <w:rPr>
          <w:sz w:val="24"/>
          <w:szCs w:val="24"/>
        </w:rPr>
        <w:t>. mellékletében meghatározottak szerint, olvashatóan, tollal vagy géppel kell kitölteni és a kötelezett által valamennyi oldalán aláírva példányonként külön-külön zárt borítékba kell helyezni. A vagyonnyilatkozatot elektronikus úton is ki lehet tölteni.</w:t>
      </w: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Amennyiben a kitöltés során tévedésre vagy elírásra kerül sor, a hibát javítani nem lehet, új nyomtatványt kell kitölteni.</w:t>
      </w: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kötelezett a vagyonnyilatkozatát zárt borítékban adja át a jegyzőnek.</w:t>
      </w:r>
    </w:p>
    <w:p w:rsidR="001F6DD8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Amennyiben a kötelezett a vagyonnyilatkozatát nem a fentieknek megfelelő formában adja át, a jegyző haladéktalanul felhívja, hogy legkésőbb 5 munkanapon belül - a megfelelő formában nyújtsa be azt.</w:t>
      </w: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lastRenderedPageBreak/>
        <w:t>A kötelezett és a jegyző a boríték lezárására szolgáló felületen elhelyezett aláírásával egyidejűleg igazolja, hogy a nyilatkozat átadására zárt borítékban került sor. A jegyző a nyilatkozatot nyilvántartási azonosítóval látja el.</w:t>
      </w: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 egyik példánya a nyilvántartásba vétel után a kötelezettnél marad, másik példányát a jegyző az egyéb iratoktól elkülönítetten kezeli és tárolja.</w:t>
      </w:r>
    </w:p>
    <w:p w:rsidR="001F6DD8" w:rsidRPr="004A589A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vagyonnyilatkozatot tartalmazó borítékokat - a nyilatkozó és a jegyző példányát is - csak vagyongyarapodási vizsgálat során az eljáró szerv bonthatja fel.</w:t>
      </w:r>
    </w:p>
    <w:p w:rsidR="001F6DD8" w:rsidRDefault="001F6DD8" w:rsidP="001F6DD8">
      <w:pPr>
        <w:pStyle w:val="Szvegtrzs4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vagyonnyilatkozatok átvételét a jegyző írásban, a 2. sz. melléklet szerinti átadás-átvételi igazolás kitöltésével igazolja, melynek egy példányát a kötelezett részére átadja.</w:t>
      </w: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left="380"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4420"/>
        <w:jc w:val="left"/>
        <w:rPr>
          <w:sz w:val="24"/>
          <w:szCs w:val="24"/>
        </w:rPr>
      </w:pPr>
      <w:r w:rsidRPr="004A589A">
        <w:rPr>
          <w:sz w:val="24"/>
          <w:szCs w:val="24"/>
        </w:rPr>
        <w:t>III.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589A">
        <w:rPr>
          <w:sz w:val="24"/>
          <w:szCs w:val="24"/>
        </w:rPr>
        <w:t>A vagyonnyilatkozatok nyilvántartása, kezelésének szabályai</w:t>
      </w:r>
    </w:p>
    <w:p w:rsidR="001F6DD8" w:rsidRPr="004A589A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 xml:space="preserve">A vagyonnyilatkozatok kezelését, tárolását és őrzését a jegyző végzi. </w:t>
      </w:r>
    </w:p>
    <w:p w:rsidR="001F6DD8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vagyonnyilatkozatokról a 3. sz. melléklet szerinti nyilvántartást kell vezetni, mely tartalmazza a nyilvántartási azonosítót, a dokumentumok átvételének időpontját, a kötelezett nevét és munkakörét.</w:t>
      </w: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vagyonnyilatkozatokat zárt borítékban, az érkezés időpontja szerint, úgy kell elhelyezni, tárolni és őrizni, hogy annak tartalmát - a vagyongyarapodási vizsgálat során eljáró szerv kivételével - senki ne ismerhesse meg.</w:t>
      </w:r>
    </w:p>
    <w:p w:rsidR="001F6DD8" w:rsidRPr="004A589A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jegyző a vagyonnyilatkozatokat az egyéb iratoktól elkülönítetten, páncélszekrényben őrzi.</w:t>
      </w: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left="380" w:firstLine="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köztisztviselő jogviszonyának áthelyezéssel történő megszűnése esetén a jegyző 8 napon belül gondoskodik a vagyonnyilatkozatnak az új őrzésért felelős személy részére történő megküldéséről.</w:t>
      </w:r>
    </w:p>
    <w:p w:rsidR="001F6DD8" w:rsidRPr="004A589A" w:rsidRDefault="001F6DD8" w:rsidP="001F6DD8">
      <w:pPr>
        <w:pStyle w:val="Szvegtrzs40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Ha a vagyonnyilatkozat-tételi kötelezettség megszűnt, vagy a kötelezett új vagyonnyilatkozatot tett a jegyző a vagyonnyilatkozat általa őrzött példányát 8 napon belül a kötelezettnek visszaadja, melyről átadás-átvételi igazolást kell kiállítani.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4420"/>
        <w:jc w:val="left"/>
        <w:rPr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ind w:left="4420"/>
        <w:jc w:val="left"/>
        <w:rPr>
          <w:sz w:val="24"/>
          <w:szCs w:val="24"/>
        </w:rPr>
      </w:pPr>
      <w:r w:rsidRPr="004A589A">
        <w:rPr>
          <w:sz w:val="24"/>
          <w:szCs w:val="24"/>
        </w:rPr>
        <w:t>IV.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sz w:val="24"/>
          <w:szCs w:val="24"/>
        </w:rPr>
      </w:pPr>
      <w:r w:rsidRPr="004A589A">
        <w:rPr>
          <w:sz w:val="24"/>
          <w:szCs w:val="24"/>
        </w:rPr>
        <w:t>Ellenőrzési eljárás kezdeményezése előtti meghallgatás szabályai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Ha a kötelezett vagyoni helyzetére vonatkozó valamely bejelentés szerint alaposan feltehető, hogy vagyongyarapodása a nyilatkozattételi kötelezettségét megalapozó jogviszonyából, illetve az őrzésért felelős által ismert egyéb törvényes forrásból származó jövedelme alapján nem igazolható a jegyző a kötelezettet meghallgatja.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Nem lehet meghallgatást kezdeményezni, ha a bejelentő névtelen, illetve a bejelentés nyilvánvalóan alaptalan, vagy olyan tényre, körülményre utal, amelyet a jegyző már korábbi meghallgatás során tisztázott.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kötelezett vagyoni helyzetére vonatkozó bejelentést bárki előterjeszthet.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Ha a kötelezettel szemben bejelentést tesznek vagyoni helyzetére vonatkozóan, a jegyző a bejelentéstől számított 5 munkanapon belül írásban értesíti - a bejelentés megküldésével - a kötelezettet a bejelentés tartalmáról a meghallgatásról, annak céljáról, időpontjáról, módjáról és módszeréről.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meghallgatásról szóló értesítést a meghallgatás időpontja előtt legalább 8 munkanappal korábban kell kézbesíteni.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vagyonnyilatkozat-tételre kötelezett a meghallgatás során jogi képviselőt igénybe vehet.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A meghallgatásról jegyzőkönyvet kell készíteni, melynek egy példányát a kötelezett részére át kell adni.</w:t>
      </w:r>
    </w:p>
    <w:p w:rsidR="001F6DD8" w:rsidRPr="004A589A" w:rsidRDefault="001F6DD8" w:rsidP="001F6DD8">
      <w:pPr>
        <w:pStyle w:val="Szvegtrzs4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lastRenderedPageBreak/>
        <w:t>Ha a meghallgatás során a bejelentésben szereplő tények, adatok nem tisztázódnak, vagy a bejelentést a kötelezett elmulasztotta, a jegyző a vagyonnyilatkozat haladéktalan megküldésével az állami adóhatóságnál a kötelezett és a vele egy háztartásban élő hozzátartozója vagyongyarapodásának az adózás rendjéről szóló törvény szerinti vizsgálatát kezdeményezi.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sz w:val="24"/>
          <w:szCs w:val="24"/>
        </w:rPr>
      </w:pPr>
      <w:r w:rsidRPr="004A589A">
        <w:rPr>
          <w:sz w:val="24"/>
          <w:szCs w:val="24"/>
        </w:rPr>
        <w:t>V.</w:t>
      </w: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rPr>
          <w:sz w:val="24"/>
          <w:szCs w:val="24"/>
        </w:rPr>
      </w:pPr>
      <w:r w:rsidRPr="004A589A">
        <w:rPr>
          <w:sz w:val="24"/>
          <w:szCs w:val="24"/>
        </w:rPr>
        <w:t>Felelősségi szabályok</w:t>
      </w:r>
    </w:p>
    <w:p w:rsidR="001F6DD8" w:rsidRPr="004A589A" w:rsidRDefault="001F6DD8" w:rsidP="001F6DD8">
      <w:pPr>
        <w:pStyle w:val="Szvegtrzs40"/>
        <w:shd w:val="clear" w:color="auto" w:fill="auto"/>
        <w:spacing w:before="0" w:line="240" w:lineRule="auto"/>
        <w:ind w:left="380"/>
        <w:rPr>
          <w:sz w:val="24"/>
          <w:szCs w:val="24"/>
        </w:rPr>
      </w:pPr>
      <w:r w:rsidRPr="004A589A">
        <w:rPr>
          <w:sz w:val="24"/>
          <w:szCs w:val="24"/>
        </w:rPr>
        <w:t>1. A vagyonnyilatkozatokkal kapcsolatos adatok védelméért, az adatkezelés jogszerűségéért a jegyző felelős.</w:t>
      </w:r>
    </w:p>
    <w:p w:rsidR="001F6DD8" w:rsidRPr="004A589A" w:rsidRDefault="001F6DD8" w:rsidP="001F6DD8">
      <w:pPr>
        <w:pStyle w:val="Szvegtrzs40"/>
        <w:shd w:val="clear" w:color="auto" w:fill="auto"/>
        <w:spacing w:before="0" w:line="240" w:lineRule="auto"/>
        <w:ind w:left="380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rPr>
          <w:sz w:val="24"/>
          <w:szCs w:val="24"/>
        </w:rPr>
      </w:pPr>
      <w:r w:rsidRPr="004A589A">
        <w:rPr>
          <w:sz w:val="24"/>
          <w:szCs w:val="24"/>
        </w:rPr>
        <w:t xml:space="preserve">2. A kötelezett felelős azért, hogy az általa bejelentett adatok hitelesek, pontosak, teljes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4A589A">
        <w:rPr>
          <w:sz w:val="24"/>
          <w:szCs w:val="24"/>
        </w:rPr>
        <w:t>körűek és aktuálisak legyenek.</w:t>
      </w:r>
    </w:p>
    <w:p w:rsidR="001F6DD8" w:rsidRDefault="001F6DD8" w:rsidP="001F6DD8">
      <w:pPr>
        <w:pStyle w:val="Szvegtrzs4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240" w:lineRule="auto"/>
        <w:ind w:left="-142" w:firstLine="142"/>
        <w:rPr>
          <w:sz w:val="24"/>
          <w:szCs w:val="24"/>
        </w:rPr>
      </w:pPr>
      <w:r w:rsidRPr="004A589A">
        <w:rPr>
          <w:sz w:val="24"/>
          <w:szCs w:val="24"/>
        </w:rPr>
        <w:t xml:space="preserve">A kötelezett és a jegyző felel a nála lévő példány kezeléséért. Jelen szabályzat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4A589A">
        <w:rPr>
          <w:sz w:val="24"/>
          <w:szCs w:val="24"/>
        </w:rPr>
        <w:t xml:space="preserve">rendelkezéseit a jegyzőre azzal az eltéréssel kell alkalmazni, hogy a jegyzőn 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4A589A">
        <w:rPr>
          <w:sz w:val="24"/>
          <w:szCs w:val="24"/>
        </w:rPr>
        <w:t>polgármestert, a kötelezetten pedig a jegyzőt kell érteni.</w:t>
      </w: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Pr="004A589A" w:rsidRDefault="001F6DD8" w:rsidP="001F6DD8">
      <w:pPr>
        <w:pStyle w:val="Szvegtrzs40"/>
        <w:shd w:val="clear" w:color="auto" w:fill="auto"/>
        <w:tabs>
          <w:tab w:val="left" w:pos="358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pStyle w:val="Szvegtrzs30"/>
        <w:shd w:val="clear" w:color="auto" w:fill="auto"/>
        <w:spacing w:after="0" w:line="240" w:lineRule="auto"/>
        <w:jc w:val="right"/>
        <w:rPr>
          <w:bCs w:val="0"/>
          <w:sz w:val="24"/>
          <w:szCs w:val="24"/>
        </w:rPr>
      </w:pPr>
      <w:r w:rsidRPr="004A589A">
        <w:rPr>
          <w:bCs w:val="0"/>
          <w:sz w:val="24"/>
          <w:szCs w:val="24"/>
        </w:rPr>
        <w:lastRenderedPageBreak/>
        <w:t xml:space="preserve">                                                              7. függelék a 18/2019. (XI.29.) rendelethez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89A">
        <w:rPr>
          <w:rFonts w:ascii="Times New Roman" w:hAnsi="Times New Roman" w:cs="Times New Roman"/>
          <w:b/>
          <w:sz w:val="24"/>
          <w:szCs w:val="24"/>
        </w:rPr>
        <w:t>Panaszok és közérdekű bejelentések intézésének rendje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 Tiszanánai Polgármesteri hivatalnál a panaszok és közérdekű bejelentések az alább ismertetettek szerint kerülnek elintézésre.</w:t>
      </w: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A közérdekű bejelentésekkel, panaszokkal kapcsolatos eljárást a </w:t>
      </w:r>
      <w:hyperlink r:id="rId6" w:tgtFrame="_blank" w:history="1">
        <w:r w:rsidRPr="004A589A">
          <w:rPr>
            <w:rFonts w:ascii="Times New Roman" w:hAnsi="Times New Roman" w:cs="Times New Roman"/>
            <w:sz w:val="24"/>
            <w:szCs w:val="24"/>
          </w:rPr>
          <w:t>2013. évi CLXV. törvény</w:t>
        </w:r>
      </w:hyperlink>
      <w:r w:rsidRPr="004A589A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1F6DD8" w:rsidRPr="004A589A" w:rsidRDefault="001F6DD8" w:rsidP="001F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A törvény fogalom-meghatározásában:</w:t>
      </w:r>
    </w:p>
    <w:p w:rsidR="001F6DD8" w:rsidRPr="004A589A" w:rsidRDefault="001F6DD8" w:rsidP="001F6DD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b/>
          <w:i/>
          <w:sz w:val="24"/>
          <w:szCs w:val="24"/>
        </w:rPr>
        <w:t>Panasz</w:t>
      </w:r>
      <w:r w:rsidRPr="004A589A">
        <w:rPr>
          <w:rFonts w:ascii="Times New Roman" w:hAnsi="Times New Roman" w:cs="Times New Roman"/>
          <w:sz w:val="24"/>
          <w:szCs w:val="24"/>
        </w:rPr>
        <w:t>: olyan kérelem, amely egyéni jog- vagy érdeksérelem megszüntetésére irányul, és elintézése nem tartozik más – így különösen bírósági, közigazgatási – eljárás hatálya alá. A panasz javaslatot is tartalmazhat.</w:t>
      </w:r>
    </w:p>
    <w:p w:rsidR="001F6DD8" w:rsidRPr="004A589A" w:rsidRDefault="001F6DD8" w:rsidP="001F6DD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b/>
          <w:i/>
          <w:sz w:val="24"/>
          <w:szCs w:val="24"/>
        </w:rPr>
        <w:t>Közérdekű bejelentés</w:t>
      </w:r>
      <w:r w:rsidRPr="004A589A">
        <w:rPr>
          <w:rFonts w:ascii="Times New Roman" w:hAnsi="Times New Roman" w:cs="Times New Roman"/>
          <w:sz w:val="24"/>
          <w:szCs w:val="24"/>
        </w:rPr>
        <w:t>: olyan körülményre hívja fel a figyelmet, amelynek orvoslása vagy megszüntetése a közösség vagy az egész társadalom érdekét szolgálja. A közérdekű bejelentés javaslatot is tartalmazhat.</w:t>
      </w:r>
    </w:p>
    <w:p w:rsidR="001F6DD8" w:rsidRPr="004A589A" w:rsidRDefault="001F6DD8" w:rsidP="001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Panasszal és közérdekű bejelentéssel bárki élhet – szóban, írásban vagy </w:t>
      </w:r>
      <w:hyperlink r:id="rId7" w:tooltip="kozeptiszavideki@zoldhatosag.hu" w:history="1">
        <w:r w:rsidRPr="004A589A">
          <w:rPr>
            <w:rFonts w:ascii="Times New Roman" w:hAnsi="Times New Roman" w:cs="Times New Roman"/>
            <w:sz w:val="24"/>
            <w:szCs w:val="24"/>
          </w:rPr>
          <w:t>elektronikus</w:t>
        </w:r>
      </w:hyperlink>
      <w:r w:rsidRPr="004A589A">
        <w:rPr>
          <w:rFonts w:ascii="Times New Roman" w:hAnsi="Times New Roman" w:cs="Times New Roman"/>
          <w:sz w:val="24"/>
          <w:szCs w:val="24"/>
        </w:rPr>
        <w:t xml:space="preserve"> úton.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rPr>
          <w:rStyle w:val="Kiemels2"/>
        </w:rPr>
        <w:t>Hol és hogyan tehető közérdekű bejelentés, panasz?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 xml:space="preserve">Panasszal és a közérdekű bejelentéssel bárki – szóban, írásban vagy elektronikus úton – fordulhat a panasszal vagy a közérdekű bejelentéssel összefüggő tárgykörben </w:t>
      </w:r>
      <w:r w:rsidRPr="004A589A">
        <w:rPr>
          <w:b/>
          <w:i/>
        </w:rPr>
        <w:t>eljárásra jogosult szervhez</w:t>
      </w:r>
      <w:r w:rsidRPr="004A589A">
        <w:t>. A szóbeli közérdekű bejelentést az eljárásra jogosult szerv köteles írásba foglalni és a bejelentő számára másodpéldányban átadni. Ha a panaszt, illetőleg a közérdekű bejelentést nem az eljárásra jogosult szervhez tették meg, azt nyolc napon belül oda át kell tenni. Az áttételről a bejelentőt egyidejűleg értesíteni kell.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rPr>
          <w:rStyle w:val="Kiemels2"/>
        </w:rPr>
        <w:t>Mikor indul eljárás és hogyan zajlik? Készül-e értesítés a vizsgálatról?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 panaszt és a közérdekű bejelentést a beérkezéstől számított harminc napon belül kell elbírálni. Ha az elbírálást megalapozó vizsgálat előreláthatólag harminc napnál hosszabb ideig tart, erről a panaszost vagy közérdekű bejelentőt – az elintézés várható időpontjának és az eljárás meghosszabbodása indokainak egyidejű közlésével – tájékoztatni kell. Az eljárásra jogosult szerv a panaszost, illetőleg a közérdekű bejelentőt meghallgathatja, ha azt a panasz, illetőleg bejelentés tartalma szükségessé teszi.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Az eljárásra jogosult szerv a vizsgálat befejezésekor a megtett intézkedésről vagy annak mellőzéséről – az indokok megjelölésével – köteles a panaszost, illetőleg bejelentőt írásban vagy elektronikus úton haladéktalanul értesíteni. Az írásbeli értesítés mellőzhető, ha az elintézésről panaszost, illetőleg bejelentőt szóban tájékoztatták, aki a tájékoztatást tudomásul vette.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rPr>
          <w:b/>
          <w:i/>
        </w:rPr>
        <w:t>A panasz vagy közérdekű bejelentés vizsgálata</w:t>
      </w:r>
      <w:r w:rsidRPr="004A589A">
        <w:t xml:space="preserve"> </w:t>
      </w:r>
      <w:r w:rsidRPr="004A589A">
        <w:rPr>
          <w:b/>
          <w:i/>
        </w:rPr>
        <w:t>mellőzhető</w:t>
      </w:r>
      <w:r w:rsidRPr="004A589A">
        <w:t>, ha az</w:t>
      </w:r>
    </w:p>
    <w:p w:rsidR="001F6DD8" w:rsidRPr="004A589A" w:rsidRDefault="001F6DD8" w:rsidP="001F6DD8">
      <w:pPr>
        <w:pStyle w:val="NormlWeb"/>
        <w:numPr>
          <w:ilvl w:val="0"/>
          <w:numId w:val="11"/>
        </w:numPr>
        <w:spacing w:before="0" w:beforeAutospacing="0" w:after="0"/>
        <w:jc w:val="both"/>
      </w:pPr>
      <w:r w:rsidRPr="004A589A">
        <w:t>a korábbival azonos tartalmú, ugyanazon panaszos, illetőleg bejelentő által tett ismételt,</w:t>
      </w:r>
    </w:p>
    <w:p w:rsidR="001F6DD8" w:rsidRPr="004A589A" w:rsidRDefault="001F6DD8" w:rsidP="001F6DD8">
      <w:pPr>
        <w:pStyle w:val="NormlWeb"/>
        <w:numPr>
          <w:ilvl w:val="0"/>
          <w:numId w:val="11"/>
        </w:numPr>
        <w:spacing w:before="0" w:beforeAutospacing="0" w:after="0"/>
        <w:jc w:val="both"/>
      </w:pPr>
      <w:r w:rsidRPr="004A589A">
        <w:t>azonosíthatatlan személy által tett.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rPr>
          <w:b/>
          <w:i/>
        </w:rPr>
        <w:t>A panasz vizsgálata mellőzhető</w:t>
      </w:r>
      <w:r w:rsidRPr="004A589A">
        <w:t xml:space="preserve"> továbbá akkor is, ha a panasztevő a sérelmezett tevékenységről (mulasztásról) való tudomásszerzéstől számított hat hónap után terjesztette elő a panaszát. A tudomásszerzéstől számított egy éven túl előterjesztett panaszt érdemi vizsgálat nélkül el kell utasítani.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 panasz, illetőleg a közérdekű bejelentés alapján – ha alaposnak bizonyul – gondoskodni kell</w:t>
      </w:r>
    </w:p>
    <w:p w:rsidR="001F6DD8" w:rsidRPr="004A589A" w:rsidRDefault="001F6DD8" w:rsidP="001F6DD8">
      <w:pPr>
        <w:pStyle w:val="NormlWeb"/>
        <w:numPr>
          <w:ilvl w:val="0"/>
          <w:numId w:val="12"/>
        </w:numPr>
        <w:spacing w:before="0" w:beforeAutospacing="0" w:after="0"/>
        <w:jc w:val="both"/>
      </w:pPr>
      <w:r w:rsidRPr="004A589A">
        <w:t>a jogszerű, illetőleg a közérdeknek megfelelő állapot helyreállításáról vagy az egyébként szükséges intézkedések megtételéről;</w:t>
      </w:r>
    </w:p>
    <w:p w:rsidR="001F6DD8" w:rsidRPr="004A589A" w:rsidRDefault="001F6DD8" w:rsidP="001F6DD8">
      <w:pPr>
        <w:pStyle w:val="NormlWeb"/>
        <w:numPr>
          <w:ilvl w:val="0"/>
          <w:numId w:val="12"/>
        </w:numPr>
        <w:spacing w:before="0" w:beforeAutospacing="0" w:after="0"/>
        <w:jc w:val="both"/>
      </w:pPr>
      <w:r w:rsidRPr="004A589A">
        <w:t>a feltárt hibák okainak megszüntetéséről;</w:t>
      </w:r>
    </w:p>
    <w:p w:rsidR="001F6DD8" w:rsidRPr="004A589A" w:rsidRDefault="001F6DD8" w:rsidP="001F6DD8">
      <w:pPr>
        <w:pStyle w:val="NormlWeb"/>
        <w:numPr>
          <w:ilvl w:val="0"/>
          <w:numId w:val="12"/>
        </w:numPr>
        <w:spacing w:before="0" w:beforeAutospacing="0" w:after="0"/>
        <w:jc w:val="both"/>
      </w:pPr>
      <w:r w:rsidRPr="004A589A">
        <w:t>az okozott sérelem orvoslásáról, továbbá</w:t>
      </w:r>
    </w:p>
    <w:p w:rsidR="001F6DD8" w:rsidRPr="004A589A" w:rsidRDefault="001F6DD8" w:rsidP="001F6DD8">
      <w:pPr>
        <w:pStyle w:val="NormlWeb"/>
        <w:numPr>
          <w:ilvl w:val="0"/>
          <w:numId w:val="12"/>
        </w:numPr>
        <w:spacing w:before="0" w:beforeAutospacing="0" w:after="0"/>
        <w:jc w:val="both"/>
      </w:pPr>
      <w:r w:rsidRPr="004A589A">
        <w:t>indokolt esetben a felelősségre vonás kezdeményezéséről.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rPr>
          <w:rStyle w:val="Kiemels2"/>
        </w:rPr>
        <w:lastRenderedPageBreak/>
        <w:t>Érheti-e bármiféle hátrány a panaszost / bejelentőt a bejelentése miatt?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 panaszost, illetőleg a bejelentőt nem érheti hátrány a panasz, illetőleg a közérdekű bejelentés megtétele miatt. A panaszos, illetőleg a közérdekű bejelentést tevő személyes adatai csak a bejelentés alapján kezdeményezett eljárás lefolytatására hatáskörrel rendelkező szerv részére adhatók át, amennyiben e szerv annak kezelésére törvény alapján jogosult, vagy az adatai továbbításához a bejelentő egyértelműen hozzájárult. A bejelentő adatai egyértelmű hozzájárulása nélkül nem hozhatók nyilvánosságra.</w:t>
      </w:r>
    </w:p>
    <w:p w:rsidR="001F6DD8" w:rsidRPr="004A589A" w:rsidRDefault="001F6DD8" w:rsidP="001F6DD8">
      <w:pPr>
        <w:pStyle w:val="NormlWeb"/>
        <w:spacing w:before="0" w:beforeAutospacing="0" w:after="0"/>
        <w:jc w:val="both"/>
      </w:pPr>
      <w:r w:rsidRPr="004A589A">
        <w:t>Amennyiben azonban nyilvánvalóvá vált, hogy a bejelentő rosszhiszeműen járt el, és ezzel bűncselekményt vagy szabálysértést követett el; másnak kárt vagy egyéb jogsérelmet okozott, adatai az eljárás kezdeményezésére, illetőleg lefolytatására jogosult szerv vagy személy részére átadhatóak.</w:t>
      </w:r>
    </w:p>
    <w:p w:rsidR="001F6DD8" w:rsidRPr="00FD5300" w:rsidRDefault="001F6DD8" w:rsidP="001F6DD8">
      <w:pPr>
        <w:pStyle w:val="null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D5300">
        <w:rPr>
          <w:rFonts w:ascii="Times New Roman" w:hAnsi="Times New Roman" w:cs="Times New Roman"/>
          <w:b/>
        </w:rPr>
        <w:t xml:space="preserve">Amennyiben a Tiszanánai Polgármesteri hivatalnál kíván panasszal, vagy közérdekű bejelentéssel élni, úgy azt kérjük, szíveskedjen az </w:t>
      </w:r>
      <w:r w:rsidRPr="00FD5300">
        <w:rPr>
          <w:rFonts w:ascii="Times New Roman" w:hAnsi="Times New Roman" w:cs="Times New Roman"/>
          <w:b/>
          <w:i/>
          <w:u w:val="single"/>
        </w:rPr>
        <w:t>eljárásra jogosult szervnél</w:t>
      </w:r>
      <w:r w:rsidRPr="00FD5300">
        <w:rPr>
          <w:rFonts w:ascii="Times New Roman" w:hAnsi="Times New Roman" w:cs="Times New Roman"/>
          <w:b/>
          <w:i/>
        </w:rPr>
        <w:t xml:space="preserve"> </w:t>
      </w:r>
      <w:r w:rsidRPr="00FD5300">
        <w:rPr>
          <w:rFonts w:ascii="Times New Roman" w:hAnsi="Times New Roman" w:cs="Times New Roman"/>
          <w:b/>
        </w:rPr>
        <w:t xml:space="preserve">megtenni. </w:t>
      </w:r>
    </w:p>
    <w:p w:rsidR="001F6DD8" w:rsidRPr="00FD5300" w:rsidRDefault="001F6DD8" w:rsidP="001F6DD8">
      <w:pPr>
        <w:pStyle w:val="null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D5300">
        <w:rPr>
          <w:rFonts w:ascii="Times New Roman" w:hAnsi="Times New Roman" w:cs="Times New Roman"/>
          <w:b/>
        </w:rPr>
        <w:t>Tiszanánai Polgármesteri Hivatal 3385 Tiszanána, Fő út 108/1.</w:t>
      </w:r>
    </w:p>
    <w:p w:rsidR="001F6DD8" w:rsidRPr="00FD5300" w:rsidRDefault="001F6DD8" w:rsidP="001F6DD8">
      <w:pPr>
        <w:pStyle w:val="null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gramStart"/>
      <w:r w:rsidRPr="00FD5300">
        <w:rPr>
          <w:rFonts w:ascii="Times New Roman" w:hAnsi="Times New Roman" w:cs="Times New Roman"/>
          <w:b/>
        </w:rPr>
        <w:t>email</w:t>
      </w:r>
      <w:proofErr w:type="gramEnd"/>
      <w:r w:rsidRPr="00FD5300">
        <w:rPr>
          <w:rFonts w:ascii="Times New Roman" w:hAnsi="Times New Roman" w:cs="Times New Roman"/>
          <w:b/>
        </w:rPr>
        <w:t xml:space="preserve"> cím: tiszanana@tiszanana.hu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89A">
        <w:rPr>
          <w:rFonts w:ascii="Times New Roman" w:hAnsi="Times New Roman" w:cs="Times New Roman"/>
          <w:b/>
          <w:sz w:val="24"/>
          <w:szCs w:val="24"/>
        </w:rPr>
        <w:t>2.§</w:t>
      </w:r>
    </w:p>
    <w:p w:rsidR="001F6DD8" w:rsidRPr="004A589A" w:rsidRDefault="001F6DD8" w:rsidP="001F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D8" w:rsidRPr="004A589A" w:rsidRDefault="001F6DD8" w:rsidP="001F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 és hatályba lépését követő napon hatályát veszti. </w:t>
      </w:r>
    </w:p>
    <w:p w:rsidR="00625E72" w:rsidRDefault="00625E72">
      <w:bookmarkStart w:id="11" w:name="_GoBack"/>
      <w:bookmarkEnd w:id="11"/>
    </w:p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EA"/>
    <w:multiLevelType w:val="multilevel"/>
    <w:tmpl w:val="EA3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05B95"/>
    <w:multiLevelType w:val="hybridMultilevel"/>
    <w:tmpl w:val="CC3E1F4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B13"/>
    <w:multiLevelType w:val="multilevel"/>
    <w:tmpl w:val="FEE4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50EA4"/>
    <w:multiLevelType w:val="multilevel"/>
    <w:tmpl w:val="988E08C2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CA4"/>
    <w:multiLevelType w:val="multilevel"/>
    <w:tmpl w:val="EBE8A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376D2"/>
    <w:multiLevelType w:val="multilevel"/>
    <w:tmpl w:val="75560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1891"/>
    <w:multiLevelType w:val="hybridMultilevel"/>
    <w:tmpl w:val="65D4CF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C28A7"/>
    <w:multiLevelType w:val="hybridMultilevel"/>
    <w:tmpl w:val="ACEA15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11D24"/>
    <w:multiLevelType w:val="multilevel"/>
    <w:tmpl w:val="4DFE8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7B3CF3"/>
    <w:multiLevelType w:val="multilevel"/>
    <w:tmpl w:val="DAEE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D0020F"/>
    <w:multiLevelType w:val="multilevel"/>
    <w:tmpl w:val="2B664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E67B1"/>
    <w:multiLevelType w:val="multilevel"/>
    <w:tmpl w:val="8ECEDD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D8"/>
    <w:rsid w:val="001F6DD8"/>
    <w:rsid w:val="006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DD8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F6D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">
    <w:name w:val="Szövegtörzs (3)_"/>
    <w:basedOn w:val="Bekezdsalapbettpusa"/>
    <w:link w:val="Szvegtrzs30"/>
    <w:rsid w:val="001F6D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1F6DD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msor2">
    <w:name w:val="Címsor #2_"/>
    <w:basedOn w:val="Bekezdsalapbettpusa"/>
    <w:link w:val="Cmsor20"/>
    <w:rsid w:val="001F6DD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Szvegtrzs2115ptFlkvr">
    <w:name w:val="Szövegtörzs (2) + 11;5 pt;Félkövér"/>
    <w:basedOn w:val="Bekezdsalapbettpusa"/>
    <w:rsid w:val="001F6D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2CordiaUPC15ptNemflkvrNemdlt">
    <w:name w:val="Címsor #2 + CordiaUPC;15 pt;Nem félkövér;Nem dőlt"/>
    <w:basedOn w:val="Cmsor2"/>
    <w:rsid w:val="001F6DD8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hu-HU" w:eastAsia="hu-HU" w:bidi="hu-HU"/>
    </w:rPr>
  </w:style>
  <w:style w:type="character" w:customStyle="1" w:styleId="Cmsor2FranklinGothicBook9ptNemflkvrNemdlt">
    <w:name w:val="Címsor #2 + Franklin Gothic Book;9 pt;Nem félkövér;Nem dőlt"/>
    <w:basedOn w:val="Cmsor2"/>
    <w:rsid w:val="001F6DD8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character" w:customStyle="1" w:styleId="Szvegtrzs2">
    <w:name w:val="Szövegtörzs (2)"/>
    <w:basedOn w:val="Bekezdsalapbettpusa"/>
    <w:rsid w:val="001F6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20">
    <w:name w:val="Címsor #2"/>
    <w:basedOn w:val="Norml"/>
    <w:link w:val="Cmsor2"/>
    <w:rsid w:val="001F6DD8"/>
    <w:pPr>
      <w:widowControl w:val="0"/>
      <w:shd w:val="clear" w:color="auto" w:fill="FFFFFF"/>
      <w:spacing w:after="0" w:line="623" w:lineRule="exact"/>
      <w:ind w:hanging="140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Szvegtrzs4">
    <w:name w:val="Szövegtörzs (4)_"/>
    <w:basedOn w:val="Bekezdsalapbettpusa"/>
    <w:link w:val="Szvegtrzs40"/>
    <w:rsid w:val="001F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1F6DD8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Kiemels2">
    <w:name w:val="Strong"/>
    <w:qFormat/>
    <w:rsid w:val="001F6DD8"/>
    <w:rPr>
      <w:b/>
      <w:bCs/>
    </w:rPr>
  </w:style>
  <w:style w:type="paragraph" w:customStyle="1" w:styleId="null">
    <w:name w:val="null"/>
    <w:basedOn w:val="Norml"/>
    <w:rsid w:val="001F6D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DD8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F6D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">
    <w:name w:val="Szövegtörzs (3)_"/>
    <w:basedOn w:val="Bekezdsalapbettpusa"/>
    <w:link w:val="Szvegtrzs30"/>
    <w:rsid w:val="001F6D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1F6DD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msor2">
    <w:name w:val="Címsor #2_"/>
    <w:basedOn w:val="Bekezdsalapbettpusa"/>
    <w:link w:val="Cmsor20"/>
    <w:rsid w:val="001F6DD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Szvegtrzs2115ptFlkvr">
    <w:name w:val="Szövegtörzs (2) + 11;5 pt;Félkövér"/>
    <w:basedOn w:val="Bekezdsalapbettpusa"/>
    <w:rsid w:val="001F6D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2CordiaUPC15ptNemflkvrNemdlt">
    <w:name w:val="Címsor #2 + CordiaUPC;15 pt;Nem félkövér;Nem dőlt"/>
    <w:basedOn w:val="Cmsor2"/>
    <w:rsid w:val="001F6DD8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hu-HU" w:eastAsia="hu-HU" w:bidi="hu-HU"/>
    </w:rPr>
  </w:style>
  <w:style w:type="character" w:customStyle="1" w:styleId="Cmsor2FranklinGothicBook9ptNemflkvrNemdlt">
    <w:name w:val="Címsor #2 + Franklin Gothic Book;9 pt;Nem félkövér;Nem dőlt"/>
    <w:basedOn w:val="Cmsor2"/>
    <w:rsid w:val="001F6DD8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character" w:customStyle="1" w:styleId="Szvegtrzs2">
    <w:name w:val="Szövegtörzs (2)"/>
    <w:basedOn w:val="Bekezdsalapbettpusa"/>
    <w:rsid w:val="001F6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20">
    <w:name w:val="Címsor #2"/>
    <w:basedOn w:val="Norml"/>
    <w:link w:val="Cmsor2"/>
    <w:rsid w:val="001F6DD8"/>
    <w:pPr>
      <w:widowControl w:val="0"/>
      <w:shd w:val="clear" w:color="auto" w:fill="FFFFFF"/>
      <w:spacing w:after="0" w:line="623" w:lineRule="exact"/>
      <w:ind w:hanging="140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Szvegtrzs4">
    <w:name w:val="Szövegtörzs (4)_"/>
    <w:basedOn w:val="Bekezdsalapbettpusa"/>
    <w:link w:val="Szvegtrzs40"/>
    <w:rsid w:val="001F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1F6DD8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Kiemels2">
    <w:name w:val="Strong"/>
    <w:qFormat/>
    <w:rsid w:val="001F6DD8"/>
    <w:rPr>
      <w:b/>
      <w:bCs/>
    </w:rPr>
  </w:style>
  <w:style w:type="paragraph" w:customStyle="1" w:styleId="null">
    <w:name w:val="null"/>
    <w:basedOn w:val="Norml"/>
    <w:rsid w:val="001F6D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zeptiszavideki@zoldhato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64339.250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21121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2020-03-31T12:22:00Z</dcterms:created>
  <dcterms:modified xsi:type="dcterms:W3CDTF">2020-03-31T12:23:00Z</dcterms:modified>
</cp:coreProperties>
</file>